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xmlns:wpg="http://schemas.microsoft.com/office/word/2010/wordprocessingGroup" xmlns:wps="http://schemas.microsoft.com/office/word/2010/wordprocessingShape">
  <w:body>
    <w:tbl>
      <w:tblPr>
        <w:tblStyle w:val="TableStyle0"/>
        <w:tblW w:w="10725" w:type="dxa"/>
        <w:tblLayout w:type="fixed"/>
        <w:tblCellMar>
          <w:left w:w="57" w:type="dxa"/>
          <w:right w:w="57" w:type="dxa"/>
        </w:tblCellMar>
        <w:tblLook w:val="04A0"/>
      </w:tblPr>
      <w:tblGrid>
        <w:gridCol w:w="450"/>
        <w:gridCol w:w="5130"/>
        <w:gridCol w:w="5145"/>
      </w:tblGrid>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20"/>
                <w:szCs w:val="20"/>
              </w:rPr>
              <w:t>ДОГОВОР ТЕПЛОСНАБЖЕНИЯ</w:t>
            </w: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6"/>
                <w:szCs w:val="16"/>
              </w:rPr>
              <w:t>(на нежилые здания/помещения)</w:t>
            </w: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20"/>
                <w:szCs w:val="20"/>
              </w:rPr>
              <w:t>№ [НомерДог]</w:t>
            </w:r>
          </w:p>
        </w:tc>
      </w:tr>
      <w:tr>
        <w:trPr>
          <w:cantSplit/>
          <w:trHeight w:val="0" w:hRule="auto"/>
        </w:trPr>
        <w:tc>
          <w:tcPr>
            <w:tcW w:w="5580" w:type="dxa"/>
            <w:gridSpan w:val="2"/>
            <w:shd w:val="clear" w:color="auto" w:fill="auto"/>
            <w:textDirection w:val="lrTb"/>
            <w:vAlign w:val="bottom"/>
          </w:tcPr>
          <w:p>
            <w:pPr>
              <w:spacing w:after="0"/>
              <w:wordWrap w:val="1"/>
              <w:jc w:val="left"/>
            </w:pPr>
            <w:r>
              <w:rPr>
                <w:rFonts w:ascii="Arial" w:hAnsi="Arial"/>
                <w:sz w:val="20"/>
                <w:szCs w:val="20"/>
              </w:rPr>
              <w:t>МО, Г.о. Подольск</w:t>
            </w:r>
          </w:p>
        </w:tc>
        <w:tc>
          <w:tcPr>
            <w:tcW w:w="5145" w:type="dxa"/>
            <w:shd w:val="clear" w:color="auto" w:fill="auto"/>
            <w:textDirection w:val="lrTb"/>
            <w:vAlign w:val="bottom"/>
          </w:tcPr>
          <w:p>
            <w:pPr>
              <w:spacing w:after="0"/>
              <w:wordWrap w:val="1"/>
              <w:jc w:val="right"/>
            </w:pPr>
            <w:r>
              <w:rPr>
                <w:rFonts w:ascii="Arial" w:hAnsi="Arial"/>
                <w:sz w:val="20"/>
                <w:szCs w:val="20"/>
              </w:rPr>
              <w:t>[ДатаДог]</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[Организация], именуемое в дальнейшем Теплоснабжающая организация (далее - ТСО), в лице заместителя генерального директора Кима Егора Леонидовича, действующего на основании доверенности  № ДОВ-1-25-ТЭК2 от 01.08.2025, с одной стороны, и [Контрагент] в лице [ОтветственноеЛицо], [действующего] на основании ________________________, именуемое в дальнейшем  Абонент,  с другой стороны, именуемые вместе Стороны, заключили настоящий Договор о нижеследующем:</w:t>
            </w:r>
          </w:p>
        </w:tc>
      </w:tr>
      <w:tr>
        <w:trPr>
          <w:cantSplit/>
          <w:trHeight w:val="0" w:hRule="auto"/>
        </w:trPr>
        <w:tc>
          <w:tcPr>
            <w:tcW w:w="10725" w:type="dxa"/>
            <w:gridSpan w:val="3"/>
            <w:shd w:val="clear" w:color="auto" w:fill="auto"/>
            <w:textDirection w:val="lrTb"/>
            <w:vAlign w:val="bottom"/>
          </w:tcPr>
          <w:p>
            <w:pPr>
              <w:spacing w:after="0"/>
              <w:wordWrap w:val="1"/>
              <w:jc w:val="center"/>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Понятия и определения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Следующими понятиями и определениями пользоваться для выполнения обязательств и пользования правами, предусмотренными настоящим Договором.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Абонент тепловой энергии – (далее - Абонент) - юридическое лицо или индивидуальный предприниматель, приобретающие тепловую энергию, теплоноситель для использования на принадлежащих ему на праве собственности или ином законном основании теплопотребляющих установках.</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Коллективный (общий домовой) коммерческий узел учета (далее – коммерческий узел учёта) - средство измерения (совокупность средств измерения и дополнительного оборудования), используемое для определения количества потребленной  тепловой энергии объектом теплопотребления и определения объёма химически очищенной воды (теплоносителя) восполненное Теплоснабжающей организацией для нормальной работы Теплопотребляющих установок Абонента (коммерческий узел учёта - состоит из узла учёта тепловой энергии и прибора учёта количества (теплоносителя), (подпиточной воды)).</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Коммерческий учёт тепловой энергии и/или теплоносителя (далее - коммерческий учёт) - это установление количества и качества тепловой энергии, теплоносителя, производимых, передаваемых или потребляемых за определённый период, с помощью узла и/или прибора учёта или расчётным путём в целях обязательного использования сторонами договора при расчётах.</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Объём тепловой энергии – количество тепловой энергии, подаваемое Абоненту (единица измерения Гигакалория).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Количество теплоносителя – объём теплоносителя, химически очищенной воды подаваемое для нормальной работы теплопотребляющих установок Абонента (Единицы измерения Кубический метр).</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Объект теплопотребления (далее – Объект) – здание, сооружение, строение и/или помещение для работы Теплопотребляющих установок которого Теплоснабжающая организация подаёт тепловую энергию и/или теплоноситель.</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Теплоноситель – вода, химически очищенная вода – предназначенная для передачи тепловой энергии путём изменения термодинамических параметров (температуры, давления).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Тариф – регулируемая органами власти стоимость товаров и услуг Теплоснабжающей организации - ценовые ставки (одноставочные или двухставочные тарифы), по которым осуществляются расчеты с Теплоснабжающей организацией за производимые ей товары (оказываемые услуги).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Точка поставки – место в тепловой сети, находящееся на границе раздела балансовой принадлежности теплопотребляющей установки (внутренних  систем отопления, горячего водоснабжения и вентиляции зданий и сооружений) и/или тепловой сети Абонента и тепловой сети Теплоснабжающей организации или Теплосетевой организации, либо в точке подключения к бесхозяйной сети, являющееся местом исполнения обязательств по настоящему Договору.</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Расчетный период – 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месяца.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Тепловая нагрузка – количество тепловой энергии, которое может быть принято Абонентом за единицу времени, что подтверждается проектом системы теплопотребления Абонента или определяется расчётным методом (в соответствии с объёмом здания и/или помещения).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Тепловая энергия – энергетический ресурс, при потреблении которого изменяются термодинамические параметры теплоносителей (температура, давление).</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Теплопотребляющая установка - устройство, предназначенное для использования тепловой энергии, теплоносителя для нужд Абонента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Тепловая мощность – (далее - мощность) – количество тепловой энергии, которое может быть произведено и (или) передано по тепловым сетям за единицу времени.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Договор теплоснабжения  - (далее - договор) – это договор энергоснабжения, в соответствии с которым, теплоснабжающая организация обязуется подавать Абоненту, через присоединённую тепловую сеть, тепловую энергию, а Абонент обязуется оплачивать принятую энергию, а также соблюдать предусмотренный договором режим её потребления, обеспечивать безопасность эксплуатации находящихся в его ведении тепловых сетей и исправность используемого им для потребления тепловой энергии оборудования и приборов учёта.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Сайт (Теплоснабжающей организации) – сайт, представленный в сети Интернет по адресу http://_____________________.</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jc w:val="left"/>
            </w:pP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b/>
                <w:sz w:val="18"/>
                <w:szCs w:val="18"/>
              </w:rPr>
              <w:t xml:space="preserve"> Раздел 1. Предмет договора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1.1. Теплоснабжающая организация обязуется поставить Абоненту тепловую энергию и теплоноситель, а Абонент обязан принять и оплатить тепловую энергию и теплоноситель, соблюдая режим потребления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1.2. Местом исполнения обязательств Теплоснабжающей организации признается точка поставки, которая располагается на границе балансовой принадлежности теплопотребляющей установки или тепловой сети Абонента и тепловой сети Теплоснабжающей организации.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Точки поставки тепловой энергии и теплоносителя определены в Акте разграничения балансовой принадлежности тепловых сетей и эксплуатационной ответственности сторон, оформленном между Теплоснабжающей организацией и Абонентом Приложение № 3.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1.3. Теплоснабжающая организация обязуется обеспечить надежность и качество теплоснабжения в соответствии с требованиями технических регламентов, иными обязательными требованиями по обеспечению надежности теплоснабжения. Качество теплоносителя определяется как физико-химические показатели теплоносителя (прозрачность, жесткость и т.п.), обуславливающие степень его пригодности для длительной эксплуатации систем теплопотребления в соответствии с их назначением. Водно-химический режим в точках поставки должен соответствовать требованиям действующих нормативно-правовых актов и нормативно-технических документов. </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jc w:val="left"/>
            </w:pP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b/>
                <w:sz w:val="18"/>
                <w:szCs w:val="18"/>
              </w:rPr>
              <w:t xml:space="preserve">   Раздел 2. Количество и качество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2.1. Плановое количество подаваемой по настоящему Договору Теплоснабжающей организацией Абоненту тепловой энергии в календарном году помесячно установлено в Приложении № 1 Плановый отпуск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2.2.  Расчетные тепловые нагрузки Абонента по видам теплопотребления установлены в Приложении № 2 Перечень объектов Абонента.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2.3. Изменение расчетных тепловых нагрузок Абонента производится в соответствии с Правилами установления и изменения (пересмотра) тепловых нагрузок, утвержденными приказом Министерства регионального развития Российской Федерации № 610 от 28.12.2009 года и оформляется дополнительным соглашением к договору.</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2.4. Фактическое количество потреблённой тепловой энергии объектов, оборудованных коммерческими узлами учёта тепловой энергии, определяется по показаниям этих устройств.</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отсутствия ПУ тепловой энергии и теплоносителя в точке поставки, выхода его из строя на срок более 15 суток в расчетном периоде, а также в случае утраты ранее введенного в эксплуатацию ПУ или истечения срока его эксплуатации, определение количества поставленных тепловой энергии и теплоносителя производится исходя из расчетного объема, определяемого в соответствии с Правилами коммерческого учета тепловой энергии, теплоносителя, утв. постановлением Правительства РФ от 18.11.2013 № 1034, на основании тепловых нагрузок, согласованных Сторонами в Приложении №1 «Плановый отпуск тепловой энергии» и Приложение №2 «Перечень объектов Абонента» к Договору.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неисправности ПУ, истечении срока его поверки, включая вывод из работы для ремонта или поверки на срок до 15 суток определение количества поставленных тепловой энергии и теплоносителя производится Теплоснабжающей организацией расчетным методом исходя из среднесуточного количества тепловой энергии, теплоносителя, определенного по ПУ за время штатной работы в отчетном периоде, приведенного к расчетной температуре наружного воздуха.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2.5. Параметры теплоносителя должны соответствовать температурному графику, указанному в Приложении № 7, в течение календарного года температурный график может меняться в зависимости от используемого теплового источника.</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jc w:val="left"/>
            </w:pP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b/>
                <w:sz w:val="18"/>
                <w:szCs w:val="18"/>
              </w:rPr>
              <w:t>Раздел 3. Учёт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3.1. Учет принятой Абонентом тепловой энергии и теплоносителя осуществляется с использованием коммерческих узлов учёта, указанных в Приложении №6 к настоящему договору в соответствии с требованиями нормативно-правовых актов и действующего законодательства Российской Федерации.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Перед каждым отопительным периодом осуществляется проверка готовности узлов учёта тепловой энергии к эксплуатации, о чём составляется акт допуска в эксплуатацию коммерческого узла учета тепловой энергии (Приложение №10 настоящего договора).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3.2. При отсутствии коммерческого узла учета, выходе его из строя или окончании срока поверки учет тепловой энергии и теплоносителя осуществляется в соответствии со вторым абзацем пункта 2.4. настоящего Договора.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3.3. Фиксирование показаний коммерческого узла учёта производится ежемесячно до 25 (двадцать пятого) числа расчётного месяца, при этом показания коммерческого узла учета в зданиях, сооружениях, помещениях, фиксируются Абонентом в Журнале учёта потреблённой тепловой энергии или Отчёте о потреблении тепловой энергии (Распечатке коммерческого узла учёта). Указанные документы представляются Абонентом в Теплоснабжающую организацию не позднее 26 числа расчётного месяца.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3.4. При наличии автоматизированной системы коммерческого учета (узла коммерческого учёта, информация которого может передаваться и отображаться у диспетчера), учет потребленной тепловой энергии и теплоносителя производится по данным автоматизированной системы.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3.5. В случае, если узел учета тепловой энергии и (или) теплоносителя установлен не в точке поставки, количество поданной тепловой энергии и (или) теплоносителя увеличивается на величину нормативных потерь тепловой энергии и (или) теплоносителя на участке тепловой сети от точки поставки до точки учета (места установки прибора учета). Величина потерь рассчитывается по методике, приведенной в Порядке определения нормативов технологических потерь при передаче тепловой энергии, теплоносителя, утвержденном приказом Минэнерго России от 30.12.2008 № 325.</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3.6. По окончании расчетного месяца до 7 числа месяца следующего за расчётным Теплоснабжающая организация направляет Абоненту акт поставки тепловой энергии и теплоносителя в двух экземплярах.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3.7. Абонент в течение 5 (пяти) дней с момента получения возвращает подписанный и скрепленный печатью акт поставки Теплоснабжающей организации.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неполучения Теплоснабжающей организацией оформленного со стороны Абонента указанного акта поставки, обязательства Теплоснабжающей организации считаются надлежаще исполненными. </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jc w:val="left"/>
            </w:pP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b/>
                <w:sz w:val="18"/>
                <w:szCs w:val="18"/>
              </w:rPr>
              <w:t>4. Обязательства и права теплоснабжающей организации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 Теплоснабжающая организация обязуется: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4.1.1. Подавать тепловую энергию Абоненту в порядке, установленном настоящим Договором постоянно, кроме перерывов:</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не более 14 (четырнадцати) дней - для проведения, текущего и/или капитального ремонтов основного оборудования источника тепловой энергии и/или тепловых сетей, предусмотренного утвержденными в установленном порядке графиками;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не более 1 (одних) суток - для проведения внеплановых ремонтов тепловых сетей в случаях аварии или инцидента оборудования.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4.1.2. Поддерживать в точке поставки среднесуточную температуру теплоносителя (сетевой воды) в подающем трубопроводе в соответствии с температурным графиком, не допускать её отклонения, более чем на 3 процента от температуры указанном в температурном графике.</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4.1.3. О причинах, начале и сроках перерывов в подачи тепловой энергии уведомить Абонента: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за 7 (семь) календарных дней до начала работ - при производстве работ, связанных с текущим ремонтом и испытаниями тепловых сетей (гидравлические, на максимальную температуру проводимые в период с мая по сентябрь);</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в календарный день, предшествующий дню производства работ, – при производстве внеплановых работ в любое время года.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4.1.4. Осуществлять выдачу технических условий для установки коммерческого узла учёта, присоединение дополнительной нагрузки и реконструкцию оборудования. Допускать в эксплуатацию и пломбировать коммерческие узлы учёта, установленные у Абонента, по согласованному Теплоснабжающей организацией проекту.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4.1.5. Ежегодно проводить проверку технического состояния и готовность потребляющего тепловую энергию устройства (оборудования) Абонента к работе в отопительный период и по результатам проверки оформить акт готовности к отопительному периоду.</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4.1.6. Исполнять другие обязательства, предусмотренные настоящим Договором.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 Теплоснабжающая организация имеет право:</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4.2.1. Ограничивать или прекращать подачу тепловой энергии Абоненту при возникновении или угрозе возникновения аварии и/или нарушении в работе систем теплоснабжения (инциденте) и/или в случае наличия задолженности Абонента в соответствии с действующим законодательством Российской Федерации.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4.2.2. Беспрепятственного доступа к потребляющему тепловую энергию оборудованию, коммерческим узлам учёта при условии уведомления Абонента при осуществлении: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контроля соблюдения Абонентом установленных режимов и согласованных объемов теплопотребления - в рабочее время суток;</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проведения измерений и определению качества холодной воды и/или тепловой энергии - в рабочее время суток;</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проведения проверки потребляющих тепловую энергию установок, присоединенных к сети Теплоснабжающей организации, - в рабочее время суток;</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проведение проверки установленных режимов теплопотребления в нештатных ситуациях - в любое время суток.</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4.2.3. При наличии доступа к коммерческому узлу учета, самостоятельно производить снятие показаний коммерческого узла учета, установленного у Абонента, в том числе и в случае отсутствия представителя Абонента, уведомленного надлежащим образом.</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jc w:val="left"/>
            </w:pP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b/>
                <w:sz w:val="18"/>
                <w:szCs w:val="18"/>
              </w:rPr>
              <w:t>5. Обязательства и права Абонента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 Абонент обязуется: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5.1.1. Надлежащим образом производить оплату потребленной (подлежащей потреблению) тепловой энергии и теплоносителя с соблюдением сроков, размера и порядка оплаты, установленных настоящим Договором.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5.1.2. Производить установку и замену коммерческого узла учета, находящегося в ведении Абонента, в соответствии с Техническими условиями, выданными Теплоснабжающей организацией и проектом, согласованным с Теплоснабжающей организацией. Обеспечивать предъявление установленных коммерческих узлов учета для допуска их в эксплуатацию и пломбирования.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5.1.3.  Содержать коммерческие узлы учета, находящиеся в ведении Абонента в исправном состоянии.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5.1.4.  Незамедлительно в день обнаружения подавать письменную заявку в диспетчерский пункт Теплоснабжающей организации: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об обнаружении утечек (для ликвидации аварии);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 неисправностях в работе и механических повреждениях коммерческого узла учета;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 нарушениях целостности пломб и схем коммерческого узла учета;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об авариях, пожарах и иных нарушениях, возникающих при эксплуатации систем теплопотребления Абонента, коммерческого узла учета и тепловой автоматики;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об изменении режимов теплопотребления.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5.1.5.  Обеспечить безопасность эксплуатации находящихся в его ведении тепловых сетей и исправность используемых приборов и оборудования, связанного с потреблением тепловой энергии, не допускать расхода теплоносителя, связанного с утечкой сетевой воды, соблюдать установленный настоящим Договором режим теплопотребления.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5.1.6.  Соблюдать среднесуточную температуру теплоносителя (сетевой воды) в обратном трубопроводе в соответствии с температурным графиком, не допуская её увеличения более, чем на 5 градусов Цельсия от температуры указанной в температурном графике, а норму утечки теплоносителя (сетевой воды) на подпитку внутренних систем теплопотребления (потребляющих тепловую энергию установок) зданий и сооружений Абонента соответствующей нулю кубических метров в час.</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5.1.7.  Обеспечивать беспрепятственный доступ представителей Теплоснабжающей организации к потребляющим тепловую энергию установкам и коммерческому узлу учета в соответствии с пунктом 4.2.2. настоящего Договора.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5.1.8.  Следить за состоянием гидроизоляции зданий, находящихся в ведении Абонента, и выполнять за свой счет мероприятия, исключающие попадание воды в подвальные, полуподвальные и другие помещения.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5.1.9.  Не передавать тепловую энергию другим Абонентам, присоединенным к сетям Абонента, без письменного разрешения Теплоснабжающей организации и после внесения соответствующих изменений в настоящий Договор.</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5.1.10.  Уведомлять Теплоснабжающую организацию в течение 7 (семи) рабочих дней с момента изменения сведений Абонента: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-об изменениях тепловой нагрузки (сведения о количестве работающих, количестве точек разбора горячего водоснабжения, а также сведения об объёме и площади помещений в соответствии с данными технической инвентаризации в занимаемом здании (помещении) за расчетный период);</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-балансовой принадлежности тепловых сетей и/или систем водопотребления Абонента;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-организационно-правовой формы, наименования организации, юридического и фактического адреса и банковских реквизитов;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-сведений о руководителе организации с приложением документов подтверждающих его полномочия;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 в условиях договоров предоставляющих Абоненту право пользования зданием (помещением).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5.1.11.  Исполнять другие обязательства, предусмотренные настоящим Договором и/или действующим законодательством.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 Абонент имеет право:</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5.2.1. В случаях перерывов теплоснабжения по вине Теплоснабжающей организации,  требовать возмещения реального ущерба, за исключением случаев, предусмотренных пунктами 4.1.1. и 4.2.1. настоящего Договора.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5.2.2. Требовать поддержания показателей качества в соответствии с настоящим Договором.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5.2.3. Требовать изменения тепловых нагрузок в соответствии с Правилами установления и изменения (пересмотра) тепловых нагрузок, утвержденными приказом Министерства регионального развития Российской Федерации № 610  от 28.12.2009 года.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5.2.4.  Передавать тепловую энергию, принятую от Теплоснабжающей организации, другим лицам (Абонентам) только при наличии письменного разрешения Теплоснабжающей организации и после внесения соответствующих изменений в настоящий Договор.</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5.2.5.  Привлекать третьих лиц (в том числе, Теплоснабжающую организацию) для обслуживания тепловых сетей, проходящих от границы раздела балансовой принадлежности до места установки коммерческого узла учета.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5.2.6. Пользоваться другими правами, предусмотренными настоящим Договором и/или действующим законодательством.</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jc w:val="left"/>
            </w:pP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b/>
                <w:sz w:val="18"/>
                <w:szCs w:val="18"/>
              </w:rPr>
              <w:t>6. Расчёт стоимости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6.1.  Расчет стоимости полученной Абонентом тепловой энергии осуществляется на основании показаний коммерческого узла учета, установленного у Абонента и допущенного в эксплуатацию в качестве коммерческого в соответствии с требованиями нормативно-правовых актов и действующего законодательства Российской Федерации.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6.2.  Стоимость обоснованных технологических потерь теплоносителя в системе отопления в виде сливов при ремонте, испытаниях, промывках, в системах автоматического регулирования (работа которых предусматривает такой слив), сверхнормативные затраты теплоносителя на заполнение трубопроводов и систем теплопотребления включается в расчёт стоимости по тарифам, утвержденным согласно действующего законодательства.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6.3. Изменение тарифов в период действия настоящего Договора не требует его переоформления.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6.4.  Расчет стоимости сверхнормативных потерь теплоносителя, в том числе на наполнение систем теплоснабжения, производится исходя из объемов, определенных по показаниям коммерческого узла учета, либо расчетным путем с учетом утвержденного тарифа на теплоноситель, согласно действующего законодательства.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6.5. Количество потребленной Абонентом тепловой энергии и сверхнормативных потерь теплоносителя определяется ежемесячно в соответствии с пунктом 2.4. настоящего Договора и указывается Теплоснабжающей организацией в счёте-фактуре и акте поставки потребленной тепловой энергии за расчетный месяц.</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6.6. Теплоснабжающая организация вправе, по мере необходимости и/или в сроки, установленные Теплоснабжающей организацией проводить проверку потребления Абонентом количества тепловой энергии и теплоносителя с составлением акта проверки (Приложение №9 настоящего договора).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6.7. При отсутствии коммерческого узла учёта, отсутствии сведений о поверке  приборов коммерческого узла учёта тепловой энергии и теплоносителя (акта поверки), а так же при непредставлении  Абонентом Журнала учёта потреблённой тепловой энергии, Отчёта о потреблении тепловой энергии (распечатка коммерческого узла учёта) или сведений о количестве работающих и количестве точек разбора горячего водоснабжения в здании (помещении), а также сведения об объёме и площади помещений в соответствии с данными технической инвентаризации в занимаемом здании (помещении) за расчетный период в сроки, предусмотренные настоящим Договором, расчет стоимости потребленной Абонентом тепловой энергии и теплоносителя производится в соответствии со вторым  абзацем пункта 2.4. настоящего договора с применением повышающего коэффициента к тарифу на тепловую энергию в размере равном 1,01 (Распоряжение Комитета по ценам и тарифам Московской области №186-Р от 25.09.2024г.) без последующего перерасчета.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6.8. В случае обнаружения расхождения между данными, указанными Абонентом в документах указанных в пункте 3.3. настоящего договора и данными, указанными в акте проверки (пункт 6.6. настоящего Договора), расчет стоимости потребленной Абонентом тепловой энергии и теплоносителя за указанный месяц производится на основании данных акта проверки. При этом сумма недоплаты (переплаты) Абонентом подлежит доплате (или засчитывается в счет текущих платежей) Абонентом за тот расчетный месяц, в который Теплоснабжающей организацией составлен этот акт проверки потребления тепловой энергии и теплоносителя (Приложение №9 настоящего договора).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отказа представителя Абонента от подписи акта проверки представитель Теплоснабжающей организации на месте подписи представителя Абонента производит запись: «От подписи отказался», указывает фамилию и инициалы представителя и ставит свою подпись.</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6.9. В случае выхода коммерческого узла учёта из строя представитель Теплоснабжающей организации и представитель Абонента составляют двухсторонний Акт снятия (установки) приборов коммерческого узла учёта тепловой энергии и теплоносителя (Приложение №8 настоящего договора). При этом показания остальных приборов коммерческого узла учёта тепловой энергии с момента составления указанного акта сторонами не учитываются и в расчётах не применяются.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В случае отказа представителя Абонента от подписи акта, представитель Теплоснабжающей организации делает запись: «От подписи отказался», указывает фамилию и инициалы представителя и ставит свою подпись.</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6.10. В случае выхода из строя коммерческого узла учёта, расчет стоимости потребленной Абонентом тепловой энергии производится на основании второго и третьего  абзаца пункта 2.4. настоящего договора до момента, восстановления работоспособности коммерческого узла учёта тепловой энергии, а израсходованного Абонентом теплоносителя на основании расчёта показаний коммерческого узла учёта за шесть месяцев, предшествующих выходу из строя, до момента восстановления работоспособности коммерческого узла учета.</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jc w:val="left"/>
            </w:pP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b/>
                <w:sz w:val="18"/>
                <w:szCs w:val="18"/>
              </w:rPr>
              <w:t>7. Порядок оплаты</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7.1. Абонент обязан произвести частичную оплату тепловой энергии в виде авансовых платежей в следующем порядке:</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35 процентов стоимости месячного договорного объема (количества) тепловой энергии, потребляемой в месяце, за который осуществляется оплата, - до 18 числа этого месяца;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50 процентов стоимости месячного договорного объема (количества) тепловой энергии, потребляемой в месяце, за который осуществляется оплата, - до последнего числа этого месяца;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Стоимость месячного договорного объема (количества) тепловой энергии указывается в Приложении №1 и определяется следующим образом:</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количество тепловой энергии (Гкал) х тариф (руб.) x 1.20 = Стоимость тепловой энергии с НДС (руб.).</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Налог на добавленную стоимость (НДС) в тарифе не учтен и взимается дополнительно в соответствии с действующим законодательством Российской Федерации.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7.2. Окончательный расчет производится Абонентом до 15 числа месяца, следующего за расчетным, в безналичном порядке на основании предъявляемых Теплоснабжающей организацией документов, указанных в пункте 7.3. договора на сумму фактически потребленной тепловой энергии в расчетном периоде.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7.3. Теплоснабжающая организация направляет Абоненту, до 7 числа месяца, следующего за расчетным: счет и/или счёт-фактуру и акт потреблённой тепловой энергии.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7.4. Если сумма поступивших на расчетный счет Теплоснабжающей организации платежей в соответствии с пунктами 7.1. и 7.2. договора превышает стоимость потребленной в расчетном периоде тепловой энергии и теплоносителя, Теплоснабжающая организация резервирует сумму переплаты на своем расчетном счете и засчитывает ее в счет платежей последующих периодов. При наличии задолженности Абонента по настоящему Договору сумма переплаты может быть направлена на погашение такой задолженности. При отсутствии задолженности Абонента по настоящему Договору сумма переплаты может быть возвращена на счет Абонента по письменному требованию.</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7.5. Неполучение Абонентом документов указанных в пункте 7.3. договора не освобождает Абонента от надлежащего исполнения им своих обязательств по своевременной и полной оплате в сроки установленные настоящим Договором.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7.6. При осуществлении оплаты по настоящему Договору Абонент в документах обязан указывать: основание платежа, номер и дату Договора, вид платежа, период, за который производится платеж, номер и дату счета-фактуры.</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7.7. Оплата за тепловую энергию осуществляется только в денежной форме. Обязательства Абонента по оплате считаются выполненными после поступления денежных средств на расчетный счет Теплоснабжающей организации.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7.8. Стороны проводят сверку расчетов с оформлением двустороннего Акта сверки не реже одного раза в квартал. Абонент  обязан подписать его и вернуть Теплоснабжающей организации, либо представить замечания в срок не более 30 (тридцати) рабочих дней. В случае если в течение 30 (тридцати) рабочих дней с момента предъявления Абоненту акта сверки в письменном виде, который письменно не заявит в Теплоснабжающую организацию свои замечания, считается, что Акт сверки принят Абонентом и подтвержден им без замечаний.</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jc w:val="left"/>
            </w:pP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b/>
                <w:sz w:val="18"/>
                <w:szCs w:val="18"/>
              </w:rPr>
              <w:t>8. Ответственность сторон</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8.1. В случае неисполнения или не надлежащего исполнения условий настоящего Договора Стороны несут ответственность в соответствии с действующим законодательством, а Сторона, нарушившая обязательства, обязана возместить другой Стороне реальный ущерб.</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8.2. В случаях нарушения Абонентом срока оплаты, указанного в пункте 7.2. настоящего договора, Абонент обязан уплатить Теплоснабжающей организации пени в размере, установленном действующим законодательством Российской Федерации (Закон о теплоснабжении №190-ФЗ от 27.07.2010г.).</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8.3. Абонент несёт полную ответственность за достоверность предоставляемой Теплоснабжающей организации информации.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8.4. Стороны не несут ответственности по обязательствам, если их невыполнение явилось следствием обстоятельств непреодолимой силы, возникших после заключения Договора. Стороны договорились о том, что к обстоятельствам непреодолимой силы, в частности, относятся: стихийные бедствия, пожары, военные действия, общегосударственный кризис, забастовки в отрасли или регионе, действия и решения государственных органов власти, объективно препятствующие исполнению обязательств по настоящему Договору, а также сбои, возникающие в энергетических сетях.</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8.5. Перечень должностных лиц, имеющих право, ведения переговоров от имени Сторон по качеству и количеству тепловой энергии, а также по вопросам исполнения взаимных обязательств, приведен в Приложении № 5.</w:t>
            </w:r>
          </w:p>
        </w:tc>
      </w:tr>
      <w:tr>
        <w:trPr>
          <w:cantSplit/>
          <w:trHeight w:val="0" w:hRule="auto"/>
        </w:trPr>
        <w:tc>
          <w:tcPr>
            <w:tcW w:w="450" w:type="dxa"/>
            <w:shd w:val="clear" w:color="auto" w:fill="auto"/>
            <w:textDirection w:val="lrTb"/>
            <w:vAlign w:val="bottom"/>
          </w:tcPr>
          <w:p>
            <w:pPr>
              <w:spacing w:after="0"/>
              <w:wordWrap w:val="1"/>
              <w:jc w:val="both"/>
            </w:pPr>
          </w:p>
        </w:tc>
        <w:tc>
          <w:tcPr>
            <w:tcW w:w="5130" w:type="dxa"/>
            <w:shd w:val="clear" w:color="auto" w:fill="auto"/>
            <w:textDirection w:val="lrTb"/>
            <w:vAlign w:val="bottom"/>
          </w:tcPr>
          <w:p>
            <w:pPr>
              <w:spacing w:after="0"/>
              <w:wordWrap w:val="1"/>
              <w:jc w:val="both"/>
            </w:pPr>
          </w:p>
        </w:tc>
        <w:tc>
          <w:tcPr>
            <w:tcW w:w="5145" w:type="dxa"/>
            <w:shd w:val="clear" w:color="auto" w:fill="auto"/>
            <w:textDirection w:val="lrTb"/>
            <w:vAlign w:val="bottom"/>
          </w:tcPr>
          <w:p>
            <w:pPr>
              <w:spacing w:after="0"/>
              <w:jc w:val="left"/>
            </w:pP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b/>
                <w:sz w:val="18"/>
                <w:szCs w:val="18"/>
              </w:rPr>
              <w:t>9.Заключительные и прочие положения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9.1. Настоящий Договор заключён на один год, Договор вступает в силу с момента подписания его сторонами и распространяется на правоотношения, возникшие с 01 октября 2025 года. Договор может быть пролонгирован на тех же условиях на следующий календарный год, если ни одна из сторон за 30 дней до окончания срока действия Договора не заявит другой стороне о его прекращении или изменении, или заключении Договора на иных условиях.</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9.2.  В случае, если какой–либо пункт настоящего Договора окажется невозможным для исполнения в соответствии с буквальным толкованием, он толкуется в соответствии с действующим законодательством Российской Федерации с учетом первоначальных интересов Сторон. Недействительность какого – либо положения настоящего Договора не влечет недействительности остальных положений настоящего Договора.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9.3.  Абонент принимает условия настоящего Договора (выражает акцепт) путем направления в адрес Теплоснабжающей организации настоящего договора на бумажном носителе информации в соответствии с требованиями действующего законодательства Российской Федерации. Выполнение указанного действия является полным и безоговорочным принятием Абонентом условий настоящего Договора без изъятий.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9.4.  По письменному требованию Абонента Теплоснабжающая организация может оформить печатную версию настоящего Договора с подписями Сторон, равному по юридической силе настоящему публичному Договору. Письменным требованием Абонента о подписании экземпляра настоящего Договора на бумажном носителе информации считается доставка в офис Теплоснабжающей организации подписанной Абонентом в двух экземплярах печатной версии настоящего Договора или письма, содержащего все необходимые сведения Абонента.</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9.5.  Стороны принимают, что в соответствии с пунктом 2 статьи 160 Гражданского кодекса Российской Федерации Теплоснабжающая организация при заключении и исполнении договора на бумажном носителе информации имеет право использовать Факсимильное воспроизведение подписей «Факсимиле» уполномоченных на заключение договора с помощью средства механического или иного копирования, электронно-цифровой подписи, либо иного аналога собственноручной подписи, на всех документах и приложениях, а также дополнительных соглашениях к договору. При этом факсимильная подпись имеет такую же юридическую силу, как и подлинная подпись уполномоченного лица.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9.6.  В случае изменения условий Договора, Теплоснабжающая организация размещает соответствующую информацию на Сайте. </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9.7.  В случае изменения сведений Абонента, он направляет письменное извещение, содержащее соответствующие изменения в адрес Теплоснабжающей организации и в порядке, предусмотренном настоящим Договором. В случае несвоевременного уведомления об указанных изменениях со стороны Абонента, Теплоснабжающая организация не несет ответственности за неисполнение или ненадлежащее исполнение своих обязательств, для исполнения которых необходимы указанные сведения.</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9.8.  Споры и разногласия, возникающие при исполнении настоящего Договора,  разрешаются в Арбитражном суде Московской области.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9.9.  Заключая настоящий Договор Абонент не находится под влиянием заблуждения, обмана, насилия, угрозы, злонамеренного соглашения и гарантирует, что имеет полное право и полномочия на заключение и исполнение настоящего Договора от своего имени.</w:t>
            </w:r>
          </w:p>
        </w:tc>
      </w:tr>
      <w:tr>
        <w:trPr>
          <w:cantSplit/>
          <w:trHeight w:val="0" w:hRule="auto"/>
        </w:trPr>
        <w:tc>
          <w:tcPr>
            <w:tcW w:w="10725" w:type="dxa"/>
            <w:gridSpan w:val="3"/>
            <w:shd w:val="clear" w:color="auto" w:fill="auto"/>
            <w:textDirection w:val="lrTb"/>
            <w:vAlign w:val="bottom"/>
          </w:tcPr>
          <w:p>
            <w:pPr>
              <w:spacing w:after="0"/>
              <w:wordWrap w:val="1"/>
              <w:jc w:val="both"/>
            </w:pPr>
            <w:r>
              <w:rPr>
                <w:rFonts w:ascii="Arial" w:hAnsi="Arial"/>
                <w:sz w:val="18"/>
                <w:szCs w:val="18"/>
              </w:rPr>
              <w:t xml:space="preserve">            9.10. Порядок ограничения подачи тепловой энергии и теплоносителя осуществляется в соответствии с Постановлением Правительства РФ от 08.08.2012 N 808 «Об организации теплоснабжения в Российской Федерации».</w:t>
            </w:r>
          </w:p>
        </w:tc>
      </w:tr>
      <w:tr>
        <w:trPr>
          <w:cantSplit/>
          <w:trHeight w:val="0" w:hRule="auto"/>
        </w:trPr>
        <w:tc>
          <w:tcPr>
            <w:tcW w:w="5580" w:type="dxa"/>
            <w:gridSpan w:val="2"/>
            <w:shd w:val="clear" w:color="auto" w:fill="auto"/>
            <w:textDirection w:val="lrTb"/>
            <w:vAlign w:val="bottom"/>
          </w:tcPr>
          <w:p>
            <w:pPr>
              <w:spacing w:after="0"/>
              <w:wordWrap w:val="1"/>
              <w:jc w:val="center"/>
            </w:pPr>
          </w:p>
        </w:tc>
        <w:tc>
          <w:tcPr>
            <w:tcW w:w="5145" w:type="dxa"/>
            <w:shd w:val="clear" w:color="auto" w:fill="auto"/>
            <w:textDirection w:val="lrTb"/>
            <w:vAlign w:val="bottom"/>
          </w:tcPr>
          <w:p>
            <w:pPr>
              <w:spacing w:after="0"/>
              <w:jc w:val="left"/>
            </w:pPr>
          </w:p>
        </w:tc>
      </w:tr>
      <w:tr>
        <w:trPr>
          <w:cantSplit/>
          <w:trHeight w:val="0" w:hRule="auto"/>
        </w:trPr>
        <w:tc>
          <w:tcPr>
            <w:tcW w:w="10725" w:type="dxa"/>
            <w:gridSpan w:val="3"/>
            <w:shd w:val="clear" w:color="auto" w:fill="auto"/>
            <w:textDirection w:val="lrTb"/>
            <w:vAlign w:val="bottom"/>
          </w:tcPr>
          <w:p>
            <w:pPr>
              <w:spacing w:after="0"/>
              <w:wordWrap w:val="1"/>
              <w:jc w:val="center"/>
            </w:pPr>
            <w:r>
              <w:rPr>
                <w:rFonts w:ascii="Arial" w:hAnsi="Arial"/>
                <w:b/>
                <w:sz w:val="18"/>
                <w:szCs w:val="18"/>
              </w:rPr>
              <w:t>Статья 11. Юридические адреса, реквизиты Сторон и подписи Сторон. </w:t>
            </w:r>
          </w:p>
        </w:tc>
      </w:tr>
      <w:tr>
        <w:trPr>
          <w:cantSplit/>
          <w:trHeight w:val="0" w:hRule="auto"/>
        </w:trPr>
        <w:tc>
          <w:tcPr>
            <w:tcW w:w="5580" w:type="dxa"/>
            <w:gridSpan w:val="2"/>
            <w:shd w:val="clear" w:color="auto" w:fill="auto"/>
            <w:textDirection w:val="lrTb"/>
            <w:vAlign w:val="bottom"/>
          </w:tcPr>
          <w:p>
            <w:pPr>
              <w:spacing w:after="0"/>
              <w:wordWrap w:val="1"/>
              <w:jc w:val="center"/>
            </w:pPr>
            <w:r>
              <w:rPr>
                <w:rFonts w:ascii="Arial" w:hAnsi="Arial"/>
                <w:sz w:val="18"/>
                <w:szCs w:val="18"/>
              </w:rPr>
              <w:t>ТСО</w:t>
            </w:r>
          </w:p>
        </w:tc>
        <w:tc>
          <w:tcPr>
            <w:tcW w:w="5145" w:type="dxa"/>
            <w:shd w:val="clear" w:color="auto" w:fill="auto"/>
            <w:textDirection w:val="lrTb"/>
            <w:vAlign w:val="bottom"/>
          </w:tcPr>
          <w:p>
            <w:pPr>
              <w:spacing w:after="0"/>
              <w:wordWrap w:val="1"/>
              <w:jc w:val="center"/>
            </w:pPr>
            <w:r>
              <w:rPr>
                <w:rFonts w:ascii="Arial" w:hAnsi="Arial"/>
                <w:sz w:val="18"/>
                <w:szCs w:val="18"/>
              </w:rPr>
              <w:t>АБОНЕНТ</w:t>
            </w:r>
          </w:p>
        </w:tc>
      </w:tr>
      <w:tr>
        <w:trPr>
          <w:cantSplit/>
          <w:trHeight w:val="0" w:hRule="auto"/>
        </w:trPr>
        <w:tc>
          <w:tcPr>
            <w:tcW w:w="5580" w:type="dxa"/>
            <w:gridSpan w:val="2"/>
            <w:shd w:val="clear" w:color="auto" w:fill="auto"/>
            <w:textDirection w:val="lrTb"/>
            <w:vAlign w:val="top"/>
          </w:tcPr>
          <w:p>
            <w:pPr>
              <w:spacing w:after="0"/>
              <w:wordWrap w:val="1"/>
              <w:jc w:val="left"/>
            </w:pPr>
            <w:r>
              <w:rPr>
                <w:rFonts w:ascii="Arial" w:hAnsi="Arial"/>
                <w:sz w:val="18"/>
                <w:szCs w:val="18"/>
              </w:rPr>
              <w:t>РеквизитыРСО</w:t>
            </w:r>
          </w:p>
        </w:tc>
        <w:tc>
          <w:tcPr>
            <w:tcW w:w="5145" w:type="dxa"/>
            <w:shd w:val="clear" w:color="auto" w:fill="auto"/>
            <w:textDirection w:val="lrTb"/>
            <w:vAlign w:val="top"/>
          </w:tcPr>
          <w:p>
            <w:pPr>
              <w:spacing w:after="0"/>
              <w:wordWrap w:val="1"/>
              <w:jc w:val="left"/>
            </w:pPr>
            <w:r>
              <w:rPr>
                <w:rFonts w:ascii="Arial" w:hAnsi="Arial"/>
                <w:sz w:val="18"/>
                <w:szCs w:val="18"/>
              </w:rPr>
              <w:t>РеквизитыЗаказчика</w:t>
            </w:r>
          </w:p>
        </w:tc>
      </w:tr>
      <w:tr>
        <w:trPr>
          <w:cantSplit/>
          <w:trHeight w:val="0" w:hRule="auto"/>
        </w:trPr>
        <w:tc>
          <w:tcPr>
            <w:tcW w:w="10725" w:type="dxa"/>
            <w:gridSpan w:val="3"/>
            <w:shd w:val="clear" w:color="auto" w:fill="auto"/>
            <w:textDirection w:val="lrTb"/>
            <w:vAlign w:val="bottom"/>
          </w:tcPr>
          <w:p>
            <w:pPr>
              <w:spacing w:after="0"/>
              <w:wordWrap w:val="1"/>
              <w:jc w:val="left"/>
            </w:pP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Приложения, являющиеся неотъемлемой частью Договора:</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Приложение 1. Плановый отпуск тепловой энергии.</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Приложение 2. Перечень помещений Абонента.</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Приложение 3. Акт разграничений балансовой принадлежности тепловых сетей и эксплуатационной ответственности сторон.</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Приложение 4. Акт показаний коммерческого узла учёта.</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Приложение 5. Перечень ответственных исполнителей Сторон.</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Приложение 6. Сведения о коммерческих узлах учета.</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Приложение 7. Температурный график.</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Приложение 8. Акт снятия (установки) приборов коммерческого узла учета тепловой энергии и теплоносителя.</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Приложение 9. Акт проверки потребления тепловой энергии Абонентом.</w:t>
            </w:r>
          </w:p>
        </w:tc>
      </w:tr>
      <w:tr>
        <w:trPr>
          <w:cantSplit/>
          <w:trHeight w:val="0" w:hRule="auto"/>
        </w:trPr>
        <w:tc>
          <w:tcPr>
            <w:tcW w:w="10725" w:type="dxa"/>
            <w:gridSpan w:val="3"/>
            <w:shd w:val="clear" w:color="auto" w:fill="auto"/>
            <w:textDirection w:val="lrTb"/>
            <w:vAlign w:val="bottom"/>
          </w:tcPr>
          <w:p>
            <w:pPr>
              <w:spacing w:after="0"/>
              <w:wordWrap w:val="1"/>
              <w:jc w:val="left"/>
            </w:pPr>
            <w:r>
              <w:rPr>
                <w:rFonts w:ascii="Arial" w:hAnsi="Arial"/>
                <w:sz w:val="18"/>
                <w:szCs w:val="18"/>
              </w:rPr>
              <w:t>Приложение 10. Акт допуска в эксплуатацию коммерческого узла учета.</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5580" w:type="dxa"/>
            <w:gridSpan w:val="2"/>
            <w:shd w:val="clear" w:color="auto" w:fill="auto"/>
            <w:textDirection w:val="lrTb"/>
            <w:vAlign w:val="bottom"/>
          </w:tcPr>
          <w:p>
            <w:pPr>
              <w:spacing w:after="0"/>
              <w:wordWrap w:val="1"/>
              <w:jc w:val="left"/>
            </w:pPr>
            <w:r>
              <w:rPr>
                <w:rFonts w:ascii="Arial" w:hAnsi="Arial"/>
                <w:sz w:val="18"/>
                <w:szCs w:val="18"/>
              </w:rPr>
              <w:t>ТСО</w:t>
            </w:r>
          </w:p>
        </w:tc>
        <w:tc>
          <w:tcPr>
            <w:tcW w:w="5145" w:type="dxa"/>
            <w:shd w:val="clear" w:color="auto" w:fill="auto"/>
            <w:textDirection w:val="lrTb"/>
            <w:vAlign w:val="bottom"/>
          </w:tcPr>
          <w:p>
            <w:pPr>
              <w:spacing w:after="0"/>
              <w:wordWrap w:val="1"/>
              <w:jc w:val="left"/>
            </w:pPr>
            <w:r>
              <w:rPr>
                <w:rFonts w:ascii="Arial" w:hAnsi="Arial"/>
                <w:sz w:val="18"/>
                <w:szCs w:val="18"/>
              </w:rPr>
              <w:t>АБОНЕНТ</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5580" w:type="dxa"/>
            <w:gridSpan w:val="2"/>
            <w:shd w:val="clear" w:color="auto" w:fill="auto"/>
            <w:textDirection w:val="lrTb"/>
            <w:vAlign w:val="bottom"/>
          </w:tcPr>
          <w:p>
            <w:pPr>
              <w:spacing w:after="0"/>
              <w:wordWrap w:val="1"/>
              <w:jc w:val="left"/>
            </w:pPr>
            <w:r>
              <w:rPr>
                <w:rFonts w:ascii="Arial" w:hAnsi="Arial"/>
                <w:sz w:val="18"/>
                <w:szCs w:val="18"/>
              </w:rPr>
              <w:t>________________________________   Е.Л. Ким</w:t>
            </w:r>
          </w:p>
        </w:tc>
        <w:tc>
          <w:tcPr>
            <w:tcW w:w="5145" w:type="dxa"/>
            <w:shd w:val="clear" w:color="auto" w:fill="auto"/>
            <w:textDirection w:val="lrTb"/>
            <w:vAlign w:val="bottom"/>
          </w:tcPr>
          <w:p>
            <w:pPr>
              <w:spacing w:after="0"/>
              <w:wordWrap w:val="1"/>
              <w:jc w:val="left"/>
            </w:pPr>
            <w:r>
              <w:rPr>
                <w:rFonts w:ascii="Arial" w:hAnsi="Arial"/>
                <w:sz w:val="18"/>
                <w:szCs w:val="18"/>
              </w:rPr>
              <w:t>________________ [ОтветственноеЛицоСокр]</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5580" w:type="dxa"/>
            <w:gridSpan w:val="2"/>
            <w:shd w:val="clear" w:color="auto" w:fill="auto"/>
            <w:textDirection w:val="lrTb"/>
            <w:vAlign w:val="bottom"/>
          </w:tcPr>
          <w:p>
            <w:pPr>
              <w:spacing w:after="0"/>
              <w:wordWrap w:val="1"/>
              <w:jc w:val="left"/>
            </w:pPr>
            <w:r>
              <w:rPr>
                <w:rFonts w:ascii="Arial" w:hAnsi="Arial"/>
                <w:sz w:val="18"/>
                <w:szCs w:val="18"/>
              </w:rPr>
              <w:t>ДатаПодписи</w:t>
            </w:r>
          </w:p>
        </w:tc>
        <w:tc>
          <w:tcPr>
            <w:tcW w:w="5145" w:type="dxa"/>
            <w:shd w:val="clear" w:color="auto" w:fill="auto"/>
            <w:textDirection w:val="lrTb"/>
            <w:vAlign w:val="bottom"/>
          </w:tcPr>
          <w:p>
            <w:pPr>
              <w:spacing w:after="0"/>
              <w:wordWrap w:val="1"/>
              <w:jc w:val="left"/>
            </w:pPr>
            <w:r>
              <w:rPr>
                <w:rFonts w:ascii="Arial" w:hAnsi="Arial"/>
                <w:sz w:val="18"/>
                <w:szCs w:val="18"/>
              </w:rPr>
              <w:t>ДатаПодписи</w:t>
            </w:r>
          </w:p>
        </w:tc>
      </w:tr>
      <w:tr>
        <w:trPr>
          <w:cantSplit/>
          <w:trHeight w:val="0" w:hRule="auto"/>
        </w:trPr>
        <w:tc>
          <w:tcPr>
            <w:tcW w:w="5580" w:type="dxa"/>
            <w:gridSpan w:val="2"/>
            <w:shd w:val="clear" w:color="auto" w:fill="auto"/>
            <w:textDirection w:val="lrTb"/>
            <w:vAlign w:val="bottom"/>
          </w:tcPr>
          <w:p>
            <w:pPr>
              <w:spacing w:after="0"/>
              <w:wordWrap w:val="1"/>
              <w:jc w:val="left"/>
            </w:pPr>
          </w:p>
        </w:tc>
        <w:tc>
          <w:tcPr>
            <w:tcW w:w="5145" w:type="dxa"/>
            <w:shd w:val="clear" w:color="auto" w:fill="auto"/>
            <w:textDirection w:val="lrTb"/>
            <w:vAlign w:val="bottom"/>
          </w:tcPr>
          <w:p>
            <w:pPr>
              <w:spacing w:after="0"/>
              <w:wordWrap w:val="1"/>
              <w:jc w:val="left"/>
            </w:pPr>
          </w:p>
        </w:tc>
      </w:tr>
      <w:tr>
        <w:trPr>
          <w:cantSplit/>
          <w:trHeight w:val="0" w:hRule="auto"/>
        </w:trPr>
        <w:tc>
          <w:tcPr>
            <w:tcW w:w="5580" w:type="dxa"/>
            <w:gridSpan w:val="2"/>
            <w:shd w:val="clear" w:color="auto" w:fill="auto"/>
            <w:textDirection w:val="lrTb"/>
            <w:vAlign w:val="bottom"/>
          </w:tcPr>
          <w:p>
            <w:pPr>
              <w:spacing w:after="0"/>
              <w:wordWrap w:val="1"/>
              <w:jc w:val="left"/>
            </w:pPr>
            <w:r>
              <w:rPr>
                <w:rFonts w:ascii="Arial" w:hAnsi="Arial"/>
                <w:sz w:val="18"/>
                <w:szCs w:val="18"/>
              </w:rPr>
              <w:t>М.П.</w:t>
            </w:r>
          </w:p>
        </w:tc>
        <w:tc>
          <w:tcPr>
            <w:tcW w:w="5145" w:type="dxa"/>
            <w:shd w:val="clear" w:color="auto" w:fill="auto"/>
            <w:textDirection w:val="lrTb"/>
            <w:vAlign w:val="bottom"/>
          </w:tcPr>
          <w:p>
            <w:pPr>
              <w:spacing w:after="0"/>
              <w:wordWrap w:val="1"/>
              <w:jc w:val="left"/>
            </w:pPr>
            <w:r>
              <w:rPr>
                <w:rFonts w:ascii="Arial" w:hAnsi="Arial"/>
                <w:sz w:val="18"/>
                <w:szCs w:val="18"/>
              </w:rPr>
              <w:t>М.П.</w:t>
            </w:r>
          </w:p>
        </w:tc>
      </w:tr>
      <w:tr>
        <w:trPr>
          <w:cantSplit/>
          <w:trHeight w:val="0" w:hRule="auto"/>
        </w:trPr>
        <w:tc>
          <w:tcPr>
            <w:tcW w:w="5580" w:type="dxa"/>
            <w:gridSpan w:val="2"/>
            <w:shd w:val="clear" w:color="auto" w:fill="auto"/>
            <w:textDirection w:val="lrTb"/>
            <w:vAlign w:val="bottom"/>
          </w:tcPr>
          <w:p>
            <w:pPr>
              <w:spacing w:after="0"/>
              <w:jc w:val="left"/>
            </w:pPr>
          </w:p>
        </w:tc>
        <w:tc>
          <w:tcPr>
            <w:tcW w:w="5145" w:type="dxa"/>
            <w:shd w:val="clear" w:color="auto" w:fill="auto"/>
            <w:textDirection w:val="lrTb"/>
            <w:vAlign w:val="bottom"/>
          </w:tcPr>
          <w:p>
            <w:pPr>
              <w:spacing w:after="0"/>
              <w:jc w:val="left"/>
            </w:pPr>
          </w:p>
        </w:tc>
      </w:tr>
      <w:tr>
        <w:trPr>
          <w:cantSplit/>
          <w:trHeight w:val="0" w:hRule="auto"/>
        </w:trPr>
        <w:tc>
          <w:tcPr>
            <w:tcW w:w="5580" w:type="dxa"/>
            <w:gridSpan w:val="2"/>
            <w:shd w:val="clear" w:color="auto" w:fill="auto"/>
            <w:textDirection w:val="lrTb"/>
            <w:vAlign w:val="bottom"/>
          </w:tcPr>
          <w:p>
            <w:pPr>
              <w:spacing w:after="0"/>
              <w:jc w:val="left"/>
            </w:pPr>
          </w:p>
        </w:tc>
        <w:tc>
          <w:tcPr>
            <w:tcW w:w="5145" w:type="dxa"/>
            <w:shd w:val="clear" w:color="auto" w:fill="auto"/>
            <w:textDirection w:val="lrTb"/>
            <w:vAlign w:val="bottom"/>
          </w:tcPr>
          <w:p>
            <w:pPr>
              <w:spacing w:after="0"/>
              <w:jc w:val="left"/>
            </w:pPr>
          </w:p>
        </w:tc>
      </w:tr>
      <w:tr>
        <w:trPr>
          <w:cantSplit/>
          <w:trHeight w:val="0" w:hRule="auto"/>
        </w:trPr>
        <w:tc>
          <w:tcPr>
            <w:tcW w:w="5580" w:type="dxa"/>
            <w:gridSpan w:val="2"/>
            <w:shd w:val="clear" w:color="auto" w:fill="auto"/>
            <w:textDirection w:val="lrTb"/>
            <w:vAlign w:val="bottom"/>
          </w:tcPr>
          <w:p>
            <w:pPr>
              <w:spacing w:after="0"/>
              <w:jc w:val="left"/>
            </w:pPr>
          </w:p>
        </w:tc>
        <w:tc>
          <w:tcPr>
            <w:tcW w:w="5145" w:type="dxa"/>
            <w:shd w:val="clear" w:color="auto" w:fill="auto"/>
            <w:textDirection w:val="lrTb"/>
            <w:vAlign w:val="bottom"/>
          </w:tcPr>
          <w:p>
            <w:pPr>
              <w:spacing w:after="0"/>
              <w:jc w:val="left"/>
            </w:pPr>
          </w:p>
        </w:tc>
      </w:tr>
      <w:tr>
        <w:trPr>
          <w:cantSplit/>
          <w:trHeight w:val="0" w:hRule="auto"/>
        </w:trPr>
        <w:tc>
          <w:tcPr>
            <w:tcW w:w="5580" w:type="dxa"/>
            <w:gridSpan w:val="2"/>
            <w:shd w:val="clear" w:color="auto" w:fill="auto"/>
            <w:textDirection w:val="lrTb"/>
            <w:vAlign w:val="bottom"/>
          </w:tcPr>
          <w:p>
            <w:pPr>
              <w:spacing w:after="0"/>
              <w:jc w:val="left"/>
            </w:pPr>
          </w:p>
        </w:tc>
        <w:tc>
          <w:tcPr>
            <w:tcW w:w="5145" w:type="dxa"/>
            <w:shd w:val="clear" w:color="auto" w:fill="auto"/>
            <w:textDirection w:val="lrTb"/>
            <w:vAlign w:val="bottom"/>
          </w:tcPr>
          <w:p>
            <w:pPr>
              <w:spacing w:after="0"/>
              <w:jc w:val="left"/>
            </w:pPr>
          </w:p>
        </w:tc>
      </w:tr>
      <w:tr>
        <w:trPr>
          <w:cantSplit/>
          <w:trHeight w:val="0" w:hRule="auto"/>
        </w:trPr>
        <w:tc>
          <w:tcPr>
            <w:tcW w:w="5580" w:type="dxa"/>
            <w:gridSpan w:val="2"/>
            <w:shd w:val="clear" w:color="auto" w:fill="auto"/>
            <w:textDirection w:val="lrTb"/>
            <w:vAlign w:val="bottom"/>
          </w:tcPr>
          <w:p>
            <w:pPr>
              <w:spacing w:after="0"/>
              <w:jc w:val="left"/>
            </w:pPr>
          </w:p>
        </w:tc>
        <w:tc>
          <w:tcPr>
            <w:tcW w:w="5145" w:type="dxa"/>
            <w:shd w:val="clear" w:color="auto" w:fill="auto"/>
            <w:textDirection w:val="lrTb"/>
            <w:vAlign w:val="bottom"/>
          </w:tcPr>
          <w:p>
            <w:pPr>
              <w:spacing w:after="0"/>
              <w:jc w:val="left"/>
            </w:pPr>
          </w:p>
        </w:tc>
      </w:tr>
      <w:tr>
        <w:trPr>
          <w:cantSplit/>
          <w:trHeight w:val="0" w:hRule="auto"/>
        </w:trPr>
        <w:tc>
          <w:tcPr>
            <w:tcW w:w="5580" w:type="dxa"/>
            <w:gridSpan w:val="2"/>
            <w:shd w:val="clear" w:color="auto" w:fill="auto"/>
            <w:textDirection w:val="lrTb"/>
            <w:vAlign w:val="bottom"/>
          </w:tcPr>
          <w:p>
            <w:pPr>
              <w:spacing w:after="0"/>
              <w:jc w:val="left"/>
            </w:pPr>
          </w:p>
        </w:tc>
        <w:tc>
          <w:tcPr>
            <w:tcW w:w="5145" w:type="dxa"/>
            <w:shd w:val="clear" w:color="auto" w:fill="auto"/>
            <w:textDirection w:val="lrTb"/>
            <w:vAlign w:val="bottom"/>
          </w:tcPr>
          <w:p>
            <w:pPr>
              <w:spacing w:after="0"/>
              <w:jc w:val="left"/>
            </w:pPr>
          </w:p>
        </w:tc>
      </w:tr>
      <w:tr>
        <w:trPr>
          <w:cantSplit/>
          <w:trHeight w:val="0" w:hRule="auto"/>
        </w:trPr>
        <w:tc>
          <w:tcPr>
            <w:tcW w:w="5580" w:type="dxa"/>
            <w:gridSpan w:val="2"/>
            <w:shd w:val="clear" w:color="auto" w:fill="auto"/>
            <w:textDirection w:val="lrTb"/>
            <w:vAlign w:val="bottom"/>
          </w:tcPr>
          <w:p>
            <w:pPr>
              <w:spacing w:after="0"/>
              <w:jc w:val="left"/>
            </w:pPr>
          </w:p>
        </w:tc>
        <w:tc>
          <w:tcPr>
            <w:tcW w:w="5145" w:type="dxa"/>
            <w:shd w:val="clear" w:color="auto" w:fill="auto"/>
            <w:textDirection w:val="lrTb"/>
            <w:vAlign w:val="bottom"/>
          </w:tcPr>
          <w:p>
            <w:pPr>
              <w:spacing w:after="0"/>
              <w:jc w:val="left"/>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