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отопления с собственником/арендатором нежилого помещения в многоквартирном доме,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оборудованном ИТП.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МО, г.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[Организация], именуемое в дальнейшем Ресурсоснабжающая организация (далее - РСО), в лице заместителя генерального директора Кима Егора Леонидовича, действующего на основании доверенности № ДОВ-1-25-ТЭК2 от 01.08.2025, с одной стороны, и [Контрагент], именуемое в дальнейшем  Потребитель,  с другой стороны, именуемые вместе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  По  настоящему договору ресурсоснабжающая организация обязуется поставить на границу балансового разграничения (наружная стена фундамента здания) коммунальный ресурс тепловая энергия для нужд отопления 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коммунальные услуги в сроки и в порядке, установленные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 настоящим договором..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 Дата начала предоставления коммунальной услуги (коммунальных услуг) [ДатаДог].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II. Общие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 Параметры нежилого помещения потребителя: площадь нежилого помещения (Приложение №2),  количество сотрудников ____ человек.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почтовому адресу __________________________________;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адресу электронной почты 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Если способ доставки не указан сторонами в настоящем договоре, то доставка осуществляется по почтовому адресу нежилого помещения потребителя, в отношении которого заключается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Платежные документы на оплату коммунальных услуг и уведомления, врученные лично или направленные по электронной почте, считаются надлежащим образом доставленными на следующий календарный день после: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проставления отметки в листе доставки платежных документов;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 Расчетным периодом для оплаты коммунальных услуг является 1 календарный месяц (далее - расчетный период).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III. Обязанности и права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 Ресурсоснабжающая организация обязана: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предоставление коммунальных услуг потребителю в необходимых для него объемах (Приложение №1) и надлежащего качества в соответствии с требованиями законодательства Российской Федерации и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принимать от потребителя показания индивидуальных, 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обеспечить доставку потребителю платежных документов на оплату коммунальных услуг способом, определенным в пункте 4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 Ресурсоснабжающая организация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устанавливать количество потребителей, находившихся (работающих) в нежилом помещении потребителя, в случае, если нежилое помещение потребителя не оборудовано индивидуальными приборами учета, горячей воды, тепловой энергии, и составлять акт об установлении количества граждан, находившихся (работающих) в нежилом помещении, в порядке, предусмотренном пунктом 56(1)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 Потребитель обязан: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обнаружении неисправностей, пожара и аварий на внутри объектовом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обеспечить оснащение нежилого помещения приборами учета (горячей воды и тепловой энергии в случае наличия технической возможности),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допускать представителя ресурсоснабжающей организации в нежилое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находившихся (работающих) в жилом помещении потребителя, в случае, если нежилое помещение потребителя не оборудовано прибором учета, не позднее 5 рабочих дней со дня произошедших изменений;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не осуществлять действия, предусмотренные пунктом 35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 Потребитель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коммунальную услугу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IV. Учет объема (количества) коммунальной услуги,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предоставленной потребителю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V. Размер платы за коммунальную услугу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14. Ресурсоснабжающая организация направляет Потребителю, до 7 числа месяца, следующего за расчетным: счет и/или счёт-фактуру и акт потреблённой тепловой энергии. Потребитель вносит плату за коммунальные услуги ресурсоснабжающей организации до 15 числа месяца, следующего за расчетным любым способом, предусмотренным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15. Потребитель вправе осуществлять предварительную оплату коммунальных услуг в счет будущих расчетных периодов.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16. В случае подключения внутри объектового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VI. Ограничение, приостановление, возобновление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предоставления коммунальной услуги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19.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VIII. Порядок разрешения споров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24. Споры и разногласия, вытекающие из настоящего договора, разрешаются судом по месту исполнения договора в соответствии с п.9 ст.29 ГПК РФ.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IX. Действие, изменение и расторжение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25. Настоящий договор вступает в силу в порядке и сроки,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26.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28.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29.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X. Заключительные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30.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31. Настоящий договор составлен в 2 экземплярах, имеющих равную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XI. Адреса и банковские реквизиты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1. Приложение № 1 Плановый отпуск тепловой энергии.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2. Приложение № 2 Перечень объектов Потребителя. 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ХII.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