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xmlns:wpg="http://schemas.microsoft.com/office/word/2010/wordprocessingGroup" xmlns:wps="http://schemas.microsoft.com/office/word/2010/wordprocessingShape">
  <w:body>
    <w:tbl>
      <w:tblPr>
        <w:tblStyle w:val="TableStyle0"/>
        <w:tblW w:w="10725" w:type="dxa"/>
        <w:tblLayout w:type="fixed"/>
        <w:tblCellMar>
          <w:left w:w="57" w:type="dxa"/>
          <w:right w:w="57" w:type="dxa"/>
        </w:tblCellMar>
        <w:tblLook w:val="04A0"/>
      </w:tblPr>
      <w:tblGrid>
        <w:gridCol w:w="450"/>
        <w:gridCol w:w="5130"/>
        <w:gridCol w:w="5145"/>
      </w:tblGrid>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28"/>
                <w:szCs w:val="28"/>
              </w:rPr>
              <w:t>ДОГОВОР ТЕПЛОСНАБЖЕНИЯ</w:t>
            </w: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sz w:val="20"/>
                <w:szCs w:val="20"/>
              </w:rPr>
              <w:t>(с управляющими организациями)</w:t>
            </w: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28"/>
                <w:szCs w:val="28"/>
              </w:rPr>
              <w:t>№ [НомерДог]</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right"/>
            </w:pP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20"/>
                <w:szCs w:val="20"/>
              </w:rPr>
              <w:t>Г.о. Подольск</w:t>
            </w:r>
          </w:p>
        </w:tc>
        <w:tc>
          <w:tcPr>
            <w:tcW w:w="5145" w:type="dxa"/>
            <w:shd w:val="clear" w:color="auto" w:fill="auto"/>
            <w:textDirection w:val="lrTb"/>
            <w:vAlign w:val="bottom"/>
          </w:tcPr>
          <w:p>
            <w:pPr>
              <w:spacing w:after="0"/>
              <w:wordWrap w:val="1"/>
              <w:jc w:val="right"/>
            </w:pPr>
            <w:r>
              <w:rPr>
                <w:rFonts w:ascii="Arial" w:hAnsi="Arial"/>
                <w:sz w:val="20"/>
                <w:szCs w:val="20"/>
              </w:rPr>
              <w:t>[ДатаДог]</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Общество с ограниченной ответственностью «ТЭК-2» (сокращенно – ООО «ТЭК-2»), в лице заместителя генерального директора Кима Егора Леонидовича, действующего на основании Доверенности № ДОВ-1-25-ТЭК2 от 01.08.2025г., именуемое в дальнейшем «Теплоснабжающая организация» («ТСО»), с одной стороны,  и [Контрагент], именуемое в дальнейшем «Абонент», в лице [ОтветственноеЛицо], действующего на основании _____________, с другой стороны, совместно именуемые Стороны заключили  настоящий Договор о нижеследующем:</w:t>
            </w:r>
          </w:p>
        </w:tc>
      </w:tr>
      <w:tr>
        <w:trPr>
          <w:cantSplit/>
          <w:trHeight w:val="0" w:hRule="auto"/>
        </w:trPr>
        <w:tc>
          <w:tcPr>
            <w:tcW w:w="5580" w:type="dxa"/>
            <w:gridSpan w:val="2"/>
            <w:shd w:val="clear" w:color="auto" w:fill="auto"/>
            <w:textDirection w:val="lrTb"/>
            <w:vAlign w:val="bottom"/>
          </w:tcPr>
          <w:p>
            <w:pPr>
              <w:spacing w:after="0"/>
              <w:wordWrap w:val="1"/>
              <w:jc w:val="center"/>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Понятия и определения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Следующими понятиями и определениями пользоваться для выполнения обязательств и пользования правами предусмотренными настоящим Договором.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Абонент тепловой энергии – (далее - Абонент) - юридическое лицо или индивидуальный предприниматель, осуществляющее управление многоквартирным домом и приобретающие коммунальный ресурс (тепловую энергию), теплоноситель для оказания коммунальных услуг отопления и горячего водоснабжения.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Коллективный (общий домовой) коммерческий узел учета (далее – коммерческий узел учёта) - средство измерения (совокупность средств измерения и дополнительного оборудования), используемое для определения количества тепловой энергии, поданного в многоквартирный дом и определения объёма химически очищенной воды (теплоносителя) восполненное Теплоснабжающей организацией для нормальной работы Теплопотребляющих установок Абонента (коммерческий узел учёта - состоит из узла учёта тепловой энергии и прибора учёта количества (теплоносителя), (подпиточной воды)).</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Коммерческий учёт тепловой энергии и/или теплоносителя (далее - коммерческий учёт) - это установление количества и качества тепловой энергии, теплоносителя, производимых, передаваемых или потребляемых за определённый период, с помощью узла и/или прибора учёта или расчётным путём в целях обязательного использования сторонами договора при расчётах.</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Объём тепловой энергии – количество тепловой энергии, подаваемое Абоненту (единица измерения Гигакалория).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Количество теплоносителя – объём теплоносителя, химически очищенной воды подаваемое для нормальной работы теплопотребляющих установок Абонента (Единицы измерения Кубический метр).</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Объект теплопотребления (далее – Объект) – дом (многоквартирный жилой дом),– здание, сооружение, строение и/или помещение для работы Теплопотребляющих установок,  которого Теплоснабжающая организация подаёт тепловую энергию и/или теплоноситель.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Теплоноситель – вода, химически очищенная вода – предназначенная для передачи тепловой энергии путём изменения термодинамических параметров (температуры, давления).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Тариф – регулируемая органами власти стоимость товаров и услуг Теплоснабжающей организации - ценовые ставки (одноставочные или двухставочные тарифы), по которым осуществляются расчеты с Теплоснабжающей организацией за производимые ей товары (оказываемые услуги). </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Точка поставки – место в тепловой сети, находящееся на границе раздела балансовой принадлежности теплопотребляющей установки (внутри домовых систем отопления, горячего водоснабжения и вентиляции) и/или тепловой сети Абонента и тепловой сети Теплоснабжающей организации или Теплосетевой организации, либо в точке подключения к бесхозяйной сети, являющееся местом исполнения обязательств по настоящему Договору.</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Расчетный период – 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Тепловая нагрузка – количество тепловой энергии, которое может быть принято Абонентом за единицу времени, что подтверждается проектом системы теплопотребления Абонента или определяется расчётным методом (в соответствии с объёмом здания и/или помещения).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Тепловая энергия – энергетический ресурс, при потреблении которого изменяются термодинамические параметры теплоносителей (температура, давление).</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Теплопотребляющая установка - устройство, предназначенное для использования тепловой энергии, теплоносителя для нужд Абонента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Тепловая мощность – (далее - мощность) – количество тепловой энергии, которое может быть произведено и (или) передано по тепловым сетям за единицу времени.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Договор теплоснабжения  - (далее - договор) – это договор энергоснабжения, в соответствии с которым, теплоснабжающая организация обязуется подавать Абоненту, через присоединённую тепловую сеть, тепловую энергию, а Абонент обязуется оплачивать принятую энергию, а также соблюдать предусмотренный договором режим её потребления, обеспечивать безопасность эксплуатации находящихся в его ведении тепловых сетей и исправность используемого им для потребления тепловой энергии оборудования и приборов учёта.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Сайт (Теплоснабжающей организации) – сайт, представленный в сети Интернет по адресу http://www.m-teploset.ru/.</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 xml:space="preserve"> Раздел 1. Предмет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1.1. Теплоснабжающая организация обязуется поставить Абоненту тепловую энергию и теплоноситель, а Абонент обязан принять и оплатить тепловую энергию и теплоноситель, соблюдая режим потребления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1.2. Местом исполнения обязательств Теплоснабжающей организации признается точка поставки, которая располагается на границе балансовой принадлежности теплопотребляющей установки или тепловой сети Абонента и тепловой сети Теплоснабжающей организации.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Точки поставки тепловой энергии и теплоносителя определены в Акте разграничения балансовой принадлежности тепловых сетей и эксплуатационной ответственности сторон, оформленном между Теплоснабжающей организацией и Абонентом Приложение № 3.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1.3. Теплоснабжающая организация обязуется обеспечить надежность и качество теплоснабжения в соответствии с требованиями технических регламентов, иными обязательными требованиями по обеспечению надежности теплоснабжения. Качество теплоносителя определяется как физико-химические показатели теплоносителя (прозрачность, жесткость и т.п.), обуславливающие степень его пригодности для длительной эксплуатации систем теплопотребления в соответствии с их назначением. Водно-химический режим в точках поставки должен соответствовать требованиям действующих нормативно-правовых актов и нормативно-технических документов. </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Раздел 2. Количество и качество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2.1. Плановое количество подаваемой по настоящему Договору Теплоснабжающей организацией Абоненту тепловой энергии в календарном году помесячно установлено в Приложении № 1 «Плановый отпуск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2.2.  Расчетные тепловые нагрузки Абонента по видам теплопотребления установлены в  Приложении № 2 «Перечень объектов Абонента».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2.3. Изменение расчетных тепловых нагрузок Абонента производится в соответствии с Правилами установления и изменения (пересмотра) тепловых нагрузок, утвержденными приказом Министерства регионального развития Российской Федерации № 610 от 28.12.2009 года и оформляется дополнительным соглашением к договору.</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2.4. Фактическое количество потреблённой тепловой энергии объектов, оборудованных коммерческими узлами учёта тепловой энергии, определяется по показаниям этих устройств.</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отсутствия коммерческих узлов учёта расчётным методом по сведениям, указанным в Приложении №2 «Перечень объектов Абонента» и Приложение №1 «Плановый отпуск тепловой энергии» с корректировкой стоимости тепловой энергии в соответствии с пунктом 59 «Правил предоставления коммунальных услуг гражданам» утвержденных Постановлением Правительства Российской Федерации от 06.05.2011 года №354. </w:t>
            </w: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sz w:val="18"/>
                <w:szCs w:val="18"/>
              </w:rPr>
              <w:t xml:space="preserve">                    2.5. Параметры теплоносителя должны соответствовать температурному графику, указанному в Приложении № 7, в течение календарного года температурный график может меняться в зависимости от используемого теплового источника.</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Раздел 3. Учёт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3.1. Учет принятой Абонентом тепловой энергии и теплоносителя осуществляется с использованием коммерческих узлов учёта, указанных в Приложении №6 к настоящему договору в соответствии с требованиями нормативно-правовых актов и действующего законодательства Российской Федерации.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Перед каждым отопительным периодом осуществляется проверка готовности узлов учёта тепловой энергии к эксплуатации, о чём составляется акт  допуска в эксплуатацию коммерческого узла учета тепловой энергии (Приложение №10 настоящего договора).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3.2. При отсутствии коммерческого узла учета, выходе его из строя или окончании срока поверки учет тепловой энергии и теплоносителя осуществляется в соответствии со вторым абзацем пункта 2.4. настоящего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3.3. Фиксирование и передача показаний коммерческого узла учёта производится ежемесячно до 23 (двадцать третьего) числа расчетного месяца, при этом показания коммерческого узла учета, из состава общего имущества в многоквартирном доме, фиксируются Абонентом в Журнале учёта потреблённой тепловой энергии или Отчёте о потреблении тепловой энергии (Распечатке коммерческого узла учёта).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3.4. При наличии автоматизированной системы коммерческого учета (узла коммерческого учёта, информация которого может передаваться и отображаться у диспетчера), учет потребленной тепловой энергии и теплоносителя производится по данным автоматизированной системы.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3.5. В случае установки коммерческого узла учета не в точке поставки, количество тепловой энергии, учтенное таким узлом, увеличивается на величину тепловых потерь, указанных в Приложении № 2.</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3.6. По окончании расчетного месяца до 7 числа месяца следующего за расчётным Теплоснабжающая организация направляет Абоненту акт поставки тепловой энергии и теплоносителя в двух экземплярах.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3.7. Абонент в течение 5 (пяти) дней с момента получения возвращает подписанный и скрепленный печатью акт поставки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неполучения Теплоснабжающей организацией оформленного со стороны Абонента указанного акта поставки, обязательства Теплоснабжающей организации считаются надлежаще исполненными. </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4. Обязательства и права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 Теплоснабжающая организация обязуется: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4.1.1. Подавать тепловую энергию Абоненту в порядке, установленном настоящим Договором постоянно, кроме перерывов:</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не более 14 (четырнадцати) дней - для проведения, текущего и/или капитального ремонтов основного оборудования источника тепловой энергии и/или тепловых сетей, предусмотренного утвержденными в установленном порядке графиками;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не более 1 (одних) суток - для проведения внеплановых ремонтов тепловых сетей в случаях аварии или инцидента оборудования.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4.1.2. Поддерживать в точке поставки среднесуточную температуру теплоносителя  (сетевой воды) в подающем трубопроводе в соответствии с температурным графиком, не допускать её отклонения, более чем на 3 процента от температуры в указанном температурном графике.</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4.1.3. О причинах, начале и сроках перерывов в подачи тепловой энергии уведомить Абонента: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за 7 (семь) календарных дней до начала работ - при производстве работ, связанных с текущим ремонтом и испытаниями тепловых сетей (гидравлические, на максимальную температуру проводимые в период с мая по сентябрь);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в календарный день, предшествующий дню производства работ, – при производстве внеплановых работ в любое время года.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4.1.4. Осуществлять выдачу технических условий для установки коммерческого узла учёта, присоединение дополнительной нагрузки и реконструкцию оборудования. Допускать в эксплуатацию и пломбировать коммерческие узлы учёта, установленные у Абонента, по согласованному Теплоснабжающей организацией проекту.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4.1.5. Ежегодно проводить проверку технического состояния и готовность потребляющего тепловую энергию устройства (оборудования) Абонента к работе в отопительный период и по результатам проверки оформить акт готовности к отопительному периоду.</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4.1.6. Исполнять другие обязательства, предусмотренные настоящим Договором.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 Теплоснабжающая организация имеет право:</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4.2.1. Ограничивать или прекращать подачу тепловой энергии Абоненту при возникновении или угрозе возникновения аварии и/или нарушении в работе систем теплоснабжения (инциденте) и/или в случае наличия задолженности Абонента в соответствии с действующим законодательством Российской Федерации.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4.2.2. Беспрепятственного доступа к потребляющему тепловую энергию оборудованию, коммерческим узлам учёта при условии уведомления Абонента при осуществлении: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контроля соблюдения Абонентом установленных режимов и согласованных объемов теплопотребления - в рабочее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проведения измерений и определению качества холодной воды и/или тепловой энергии - в рабочее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проведения проверки потребляющих тепловую энергию установок, присоединенных к сети Теплоснабжающей организации, - в рабочее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проведение проверки установленных режимов теплопотребления в нештатных ситуациях - в любое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4.2.3. При наличии доступа к коммерческому узлу учета, самостоятельно производить снятие показаний коммерческого узла учета, установленного у Абонента, в том числе и в случае отсутствия представителя Абонента, уведомленного надлежащим образом.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4.2.4. Отказаться от исполнения настоящего договора полностью, при наличии у Абонента, признанной им по акту сверки расчетов или подтвержденной решением суда, задолженности перед Теплоснабжающей организацией за поставленную тепловую энергию, в размере, превышающем стоимость соответствующего коммунального ресурса за три расчетных периода (расчетных месяца)</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5. Обязательства и права Абонента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 Абонент обязуется: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5.1.1. Надлежащим образом производить оплату потребленной (подлежащей потреблению) тепловой энергии и теплоносителя с соблюдением сроков, размера и порядка оплаты, установленных настоящим Договором.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5.1.2. Соблюдать среднесуточную температуру теплоносителя (сетевой воды) в обратном трубопроводе в соответствии с температурным графиком, не допуская её увеличения более, чем на 3 градуса Цельсия от температуры, указанной в температурном графике, а норму утечки теплоносителя (сетевой воды) на подпитку внутридомовых систем теплопотребления (потребляющих тепловую энергию установок) Абонента соответствующей нулю кубических метров в час.</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5.1.3.  Содержать коммерческие узлы учета, находящиеся в ведении Абонента в исправном состоянии.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5.1.4.  Незамедлительно в день обнаружения подавать письменную заявку в диспетчерский пункт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об обнаружении утечек (для ликвидации аварии);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 неисправностях в работе и механических повреждениях коммерческого узла учета;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 нарушениях целостности пломб и схем коммерческого узла учета;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об авариях, пожарах и иных нарушениях, возникающих при эксплуатации систем теплопотребления Абонента, коммерческого узла учета и тепловой автоматики;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об изменении режимов теплопотребления.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5.1.5.  Обеспечить безопасность эксплуатации находящихся в его ведении тепловых сетей и исправность используемых приборов и оборудования, связанного с потреблением тепловой энергии, не допускать расхода теплоносителя, связанного с утечкой сетевой воды, соблюдать установленный настоящим Договором режим теплопотребления.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5.1.6.  В случае выбора новой организации, выполняющей функции управления многоквартирным домом, в домах, указанных в Приложении № 1, в течение 3 (трех) дней уведомить Теплоснабжающую организацию, в течение 30 (тридцати) календарных дней с даты выбора новой организации, урегулировать вопросы оплаты задолженности/ переплаты, по настоящему Договору, заключить соглашение (договор) предусматривающее соответствующую компенсацию Теплоснабжающей организации и направить копию такого соглашения (договора) в Теплоснабжающую организацию.</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5.1.7.  Обеспечивать беспрепятственный доступ представителей Теплоснабжающей организации к потребляющим тепловую энергию установкам и коммерческому узлу учета в соответствии с пунктом 4.2.2. настоящего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5.1.8.  Следить за состоянием гидроизоляции зданий, находящихся в ведении Абонента, и выполнять за свой счет мероприятия, исключающие попадание воды в подвальные, полуподвальные и другие помещения.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5.1.9.  Не передавать тепловую энергию другим Абонентам, присоединенным к сетям Абонента, без письменного разрешения Теплоснабжающей организации и после внесения соответствующих изменений в настоящий Договор.</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5.1.10.  Уведомлять Теплоснабжающую организацию в течение 7 (семи) рабочих дней с момента изменения сведений Абонента: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-об изменениях тепловой нагрузки (сведения о количестве работающих, количестве точек разбора горячего водоснабжения, а также сведения об объёме и площади помещений в соответствии с данными технической инвентаризации в занимаемом здании (помещении) за расчетный период);</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-балансовой принадлежности тепловых сетей и/или систем водопотребления Абонента;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-организационно-правовой формы, наименования организации, юридического и фактического адреса и банковских реквизитов;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-сведений о руководителе организации с приложением документов подтверждающих его полномочия;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в условиях договоров предоставляющих Абоненту право пользования зданием (помещением).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5.1.11.  Исполнять другие обязательства, предусмотренные настоящим Договором и/или действующим законодательством.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 Абонент имеет право:</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5.2.1. В случаях перерывов теплоснабжения по вине Теплоснабжающей организации,  требовать возмещения реального ущерба, за исключением случаев, предусмотренных пунктами 4.1.1. и 4.2.1. настоящего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5.2.2. Требовать поддержания показателей качества в соответствии с настоящим Договором.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5.2.3. Требовать изменения тепловых нагрузок в соответствии с Правилами установления и изменения (пересмотра) тепловых нагрузок, утвержденными приказом Министерства регионального развития Российской Федерации № 610 от 28.12.2009 года.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5.2.4.  Передавать тепловую энергию, принятую от Теплоснабжающей организации, другим лицам (Абонентам) только при наличии письменного разрешения Теплоснабжающей организации и после внесения соответствующих изменений в настоящий Договор.</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5.2.5.  Привлекать третьих лиц (в том числе, Теплоснабжающую организацию) для обслуживания тепловых сетей, проходящих от границы раздела балансовой принадлежности до места установки коммерческого узла учета.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5.2.6. Пользоваться другими правами, предусмотренными настоящим Договором и/или действующим законодательством.</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6. Расчёт стоимости</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6.1.  Расчет стоимости полученной Абонентом тепловой энергии осуществляется на основании показаний коммерческого узла учета, установленного у Абонента и допущенного в эксплуатацию в качестве коммерческого в соответствии с требованиями нормативно-правовых актов и действующего законодательства Российской Федерации.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6.2.  Стоимость обоснованных технологических потерь теплоносителя в системе отопления в виде сливов при ремонте, испытаниях, промывках, в системах автоматического регулирования (работа которых предусматривает такой слив), сверхнормативные затраты теплоносителя на заполнение трубопроводов и систем теплопотребления включается в расчёт стоимости по тарифам, утвержденным согласно действующего законодательства.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6.3. Изменение тарифов в период действия настоящего Договора не требует его переоформления.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6.4.  Расчет стоимости сверхнормативных потерь теплоносителя, в том числе на наполнение систем теплоснабжения, производится исходя из объемов, определенных по показаниям коммерческого узла учета, либо расчетным путем с учетом утвержденного тарифа на теплоноситель, согласно действующего законодательства.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6.5. Количество потребленной Абонентом тепловой энергии и сверхнормативных потерь теплоносителя определяется ежемесячно в соответствии с пунктом 2.4. настоящего Договора и указывается Теплоснабжающей организацией в счёте-фактуре и акте поставки потребленной тепловой энергии за расчетный месяц.</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6.6. Теплоснабжающая организация вправе, по мере необходимости и/или в сроки, установленные Теплоснабжающей организацией проводить проверку потребления Абонентом количества тепловой энергии и теплоносителя с составлением акта проверки (Приложение №9 настоящего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6.7. При отсутствии коммерческого узла учёта, отсутствии сведений о поверке (акта поверки) приборов коммерческого узла учёта тепловой энергии и теплоносителя, а так же при непредставлении  Абонентом Журнала учёта потреблённой тепловой энергии, Отчёта о потреблении тепловой энергии (распечатка коммерческого узла учёта) или сведений о количестве проживающих и общей площади жилых и нежилых за расчетный период в сроки, предусмотренные настоящим Договором, расчет стоимости потребленной Абонентом тепловой энергии и теплоносителя производится в соответствии со вторым  абзацем пункта 2.4. настоящего договора, без последующего перерасчета.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6.8. В случае обнаружения расхождения между данными, указанными Абонентом в документах указанных в пункте 3.3. настоящего договора и данными, указанными в акте проверки (пункт 6.6. настоящего Договора), расчет стоимости потребленной Абонентом тепловой энергии и теплоносителя за указанный месяц производится на основании данных акта проверки. При этом сумма недоплаты (переплаты) Абонентом подлежит доплате (или засчитывается в счет текущих платежей) Абонентом за тот расчетный месяц, в который Теплоснабжающей организацией составлен этот акт проверки потребления тепловой энергии и теплоносителя (Приложение №9 настоящего договора).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отказа представителя Абонента от подписи акта проверки представитель Теплоснабжающей организации на месте подписи представителя Абонента производит запись: «От подписи отказался», указывает фамилию и инициалы представителя и ставит свою подпись.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6.9. В случае выхода коммерческого узла учёта из строя представитель Теплоснабжающей организации и представитель Абонента составляют двухсторонний Акт снятия (установки) приборов коммерческого узла учёта тепловой энергии и теплоносителя (Приложение №8 настоящего договора). При этом показания остальных приборов коммерческого узла учёта тепловой энергии с момента составления указанного акта сторонами не учитываются и в расчётах не применяются.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отказа представителя Абонента от подписи акта, представитель Теплоснабжающей организации делает запись: «От подписи отказался», указывает фамилию и инициалы представителя и ставит свою подпись.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6.10. В случае выхода из строя коммерческого узла учёта, расчет стоимости потребленной Абонентом тепловой энергии производится на основании второго и третьего абзаца пункта 2.4. настоящего договора до момента, восстановления работоспособности коммерческого узла учёта тепловой энергии, а израсходованного Абонентом теплоносителя на основании расчёта показаний коммерческого узла учёта за шесть месяцев, предшествующих выходу из строя, до момента восстановления работоспособности коммерческого узла учета.</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7. Порядок оплаты</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7.1. Оплата поставляемой Абоненту в расчетном периоде тепловой энергии и теплоносителя производится Абонентом в срок до 20 числа месяца, следующего за  расчетным.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7.2. Теплоснабжающая организация направляет Абоненту, до 5 числа месяца, следующего за расчетным,: счет и/или счёт-фактуру и акт потреблённой тепловой энергии.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7.3. Если сумма поступивших на расчетный счет Теплоснабжающей организации платежей в соответствии с пунктом 7.1.превышает стоимость потребленной в расчетном периоде тепловой энергии и теплоносителя, Теплоснабжающая организация резервирует сумму переплаты на своем расчетном счете и засчитывает ее в счет платежей последующих периодов. При наличии задолженности Абонента по настоящему Договору сумма переплаты может быть направлена на погашение такой задолженности. При отсутствии задолженности Абонента по настоящему Договору сумма переплаты может быть возвращена на счет Абонента по письменному требованию.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7.4. Неполучение Абонентом документов, указанных в пункте 7.2. не освобождает Абонента от надлежащего исполнения им своих обязательств по своевременной и полной оплате в сроки установленные настоящим Договором.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7.5. При осуществлении оплаты по настоящему Договору Абонент в документах обязан указывать: основание платежа, номер и дату Договора, вид платежа, период, за который производится платеж, номер и дату счета-фактуры.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7.6. Оплата за тепловую энергию осуществляется только в денежной форме. Обязательства Абонента по оплате считаются выполненными после поступления денежных средств на расчетный счет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7.7. Стороны проводят сверку расчетов с оформлением двустороннего Акта сверки не реже одного раза в квартал. Абонент  обязан подписать его и вернуть Теплоснабжающей организации, либо представить замечания в срок не более 30 (тридцати) рабочих дней. В случае если в течение 30 (тридцати) рабочих дней с момента предъявления в письменном виде Абоненту акта сверки в письменном виде который письменно не заявит в Теплоснабжающую организацию свои замечания, считается, что Акт сверки принят Абонентом и подтвержден им без замечаний.</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8. Ответственность сторон</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8.1. В случае неисполнения или не надлежащего исполнения условий настоящего Договора Стороны несут ответственность в соответствии с действующим законодательством, а Сторона, нарушившая обязательства, обязана возместить другой Стороне реальный ущерб.</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8.2. В случаях нарушения Абонентом срока оплаты, указанного в пункте 7.2. настоящего договора, Абонент обязан уплатить Теплоснабжающей организации пени в размере, установленном действующим законодательством Российской Федерации (Закон о теплоснабжении №190-ФЗ от 27.07.2010г. и Жилищный кодекс РФ №188-ФЗ от 29.12.2004г.).</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8.3. Абонент несёт полную ответственность за достоверность предоставляемой Теплоснабжающей организации информации.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8.4. Стороны не несут ответственности по обязательствам, если их невыполнение явилось следствием обстоятельств непреодолимой силы, возникших после заключения Договора. Стороны договорились о том, что к обстоятельствам непреодолимой силы, в частности, относятся: стихийные бедствия, пожары, военные действия, общегосударственный кризис, забастовки в отрасли или регионе, действия и решения государственных органов власти, объективно препятствующие исполнению обязательств по настоящему Договору, а также сбои, возникающие в энергетических сетях.</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8.5. Перечень должностных лиц, имеющих право, ведения переговоров от имени Сторон по качеству и количеству тепловой энергии, а также по вопросам исполнения взаимных обязательств, приведен в Приложении № 5.</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9.Заключительные и прочие положения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9.1. Настоящий Договор заключён на один год, Договор вступает в силу с момента подписания его сторонами и распространяется на правоотношения, возникшие с [ДатаДог]. Договор может быть пролонгирован на тех же условиях на следующий календарный год, если ни одна из сторон за 30 дней до окончания срока действия Договора не заявит другой стороне о его прекращении или изменении, или заключении Договора на иных условиях.</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9.2.  В случае, если какой–либо пункт настоящего Договора окажется невозможным для исполнения в соответствии с буквальным толкованием, он толкуется в соответствии с действующим законодательством Российской Федерации с учетом первоначальных интересов Сторон. Недействительность какого – либо положения настоящего Договора не влечет недействительности остальных положений настоящего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9.3.  Абонент принимает условия настоящего Договора (выражает акцепт) путем направления в адрес Теплоснабжающей организации настоящего договора на бумажном носителе информации в соответствии с требованиями действующего законодательства Российской Федерации. Выполнение указанного действия является полным и безоговорочным принятием Абонентом условий настоящего Договора без изъятий.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9.4.  По письменному требованию Абонента Теплоснабжающая организация может оформить печатную версию настоящего Договора с подписями Сторон, равному по юридической силе настоящему публичному Договору. Письменным требованием Абонента о подписании экземпляра настоящего Договора на бумажном носителе информации считается доставка в офис Теплоснабжающей организации подписанной Абонентом в двух экземплярах печатной версии настоящего Договора или письма, содержащего все необходимые сведения Абонента.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9.5.  Стороны принимают, что в соответствии с пунктом 2 статьи 160 Гражданского кодекса Российской Федерации Теплоснабжающая организация при заключении и исполнении договора на бумажном носителе информации имеет право использовать Факсимильное воспроизведение подписей «Факсимиле» уполномоченных на заключение договора с помощью средства механического или иного копирования, электронно-цифровой подписи, либо иного аналога собственноручной подписи, на всех документах и приложениях, а также дополнительных соглашениях к договору. При этом факсимильная подпись имеет такую же юридическую силу, как и подлинная подпись уполномоченного лица.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9.6.  В случае изменения условий Договора, Теплоснабжающая организация размещает соответствующую информацию на Сайте.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9.7.  В случае изменения сведений Абонента, он направляет письменное извещение, содержащее соответствующие изменения в адрес Теплоснабжающей организации и в порядке, предусмотренном настоящим Договором. В случае несвоевременного уведомления об указанных изменениях со стороны Абонента, Теплоснабжающая организация не несет ответственности за неисполнение или ненадлежащее исполнение своих обязательств, для исполнения которых необходимы указанные сведения.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9.8.  Споры и разногласия, возникающие при исполнении настоящего Договора,  разрешаются в Арбитражном суде Московской области.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9.9.  Заключая настоящий Договор Абонент не находится под влиянием заблуждения, обмана, насилия, угрозы, злонамеренного соглашения и гарантирует, что имеет полное право и полномочия на заключение и исполнение настоящего Договора от своего имени.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9.10. Порядок ограничения подачи тепловой энергии и теплоносителя осуществляется в соответствии с Постановлением Правительства РФ от 08.08.2012 N 808 «Об организации теплоснабжения в Российской Федерации».</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10. Адреса и банковские реквизиты сторон</w:t>
            </w:r>
          </w:p>
        </w:tc>
      </w:tr>
      <w:tr>
        <w:trPr>
          <w:cantSplit/>
          <w:trHeight w:val="0" w:hRule="auto"/>
        </w:trPr>
        <w:tc>
          <w:tcPr>
            <w:tcW w:w="5580" w:type="dxa"/>
            <w:gridSpan w:val="2"/>
            <w:shd w:val="clear" w:color="auto" w:fill="auto"/>
            <w:textDirection w:val="lrTb"/>
            <w:vAlign w:val="bottom"/>
          </w:tcPr>
          <w:p>
            <w:pPr>
              <w:spacing w:after="0"/>
              <w:wordWrap w:val="1"/>
              <w:jc w:val="center"/>
            </w:pPr>
            <w:r>
              <w:rPr>
                <w:rFonts w:ascii="Arial" w:hAnsi="Arial"/>
                <w:sz w:val="18"/>
                <w:szCs w:val="18"/>
              </w:rPr>
              <w:t>ТСО</w:t>
            </w:r>
          </w:p>
        </w:tc>
        <w:tc>
          <w:tcPr>
            <w:tcW w:w="5145" w:type="dxa"/>
            <w:shd w:val="clear" w:color="auto" w:fill="auto"/>
            <w:textDirection w:val="lrTb"/>
            <w:vAlign w:val="bottom"/>
          </w:tcPr>
          <w:p>
            <w:pPr>
              <w:spacing w:after="0"/>
              <w:wordWrap w:val="1"/>
              <w:jc w:val="center"/>
            </w:pPr>
            <w:r>
              <w:rPr>
                <w:rFonts w:ascii="Arial" w:hAnsi="Arial"/>
                <w:sz w:val="18"/>
                <w:szCs w:val="18"/>
              </w:rPr>
              <w:t>АБОНЕНТ</w:t>
            </w:r>
          </w:p>
        </w:tc>
      </w:tr>
      <w:tr>
        <w:trPr>
          <w:cantSplit/>
          <w:trHeight w:val="0" w:hRule="auto"/>
        </w:trPr>
        <w:tc>
          <w:tcPr>
            <w:tcW w:w="5580" w:type="dxa"/>
            <w:gridSpan w:val="2"/>
            <w:shd w:val="clear" w:color="auto" w:fill="auto"/>
            <w:textDirection w:val="lrTb"/>
            <w:vAlign w:val="top"/>
          </w:tcPr>
          <w:p>
            <w:pPr>
              <w:spacing w:after="0"/>
              <w:wordWrap w:val="1"/>
              <w:jc w:val="left"/>
            </w:pPr>
            <w:r>
              <w:rPr>
                <w:rFonts w:ascii="Arial" w:hAnsi="Arial"/>
                <w:sz w:val="18"/>
                <w:szCs w:val="18"/>
              </w:rPr>
              <w:t>РеквизитыРСО</w:t>
            </w:r>
          </w:p>
        </w:tc>
        <w:tc>
          <w:tcPr>
            <w:tcW w:w="5145" w:type="dxa"/>
            <w:shd w:val="clear" w:color="auto" w:fill="auto"/>
            <w:textDirection w:val="lrTb"/>
            <w:vAlign w:val="top"/>
          </w:tcPr>
          <w:p>
            <w:pPr>
              <w:spacing w:after="0"/>
              <w:wordWrap w:val="1"/>
              <w:jc w:val="left"/>
            </w:pPr>
            <w:r>
              <w:rPr>
                <w:rFonts w:ascii="Arial" w:hAnsi="Arial"/>
                <w:sz w:val="18"/>
                <w:szCs w:val="18"/>
              </w:rPr>
              <w:t>РеквизитыЗаказчика</w:t>
            </w:r>
          </w:p>
        </w:tc>
      </w:tr>
      <w:tr>
        <w:trPr>
          <w:cantSplit/>
          <w:trHeight w:val="0" w:hRule="auto"/>
        </w:trPr>
        <w:tc>
          <w:tcPr>
            <w:tcW w:w="5580" w:type="dxa"/>
            <w:gridSpan w:val="2"/>
            <w:shd w:val="clear" w:color="auto" w:fill="auto"/>
            <w:textDirection w:val="lrTb"/>
            <w:vAlign w:val="top"/>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Приложения, являющиеся неотъемлемой частью Договора:</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 xml:space="preserve">                 1. Приложение № 1 Плановый отпуск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 xml:space="preserve">                 2. Приложение № 2 Перечень объектов Абонента. </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 xml:space="preserve">                 3. Приложение № 3 Акт разграничения балансовой принадлежности тепловых сетей и эксплуатационной ответственности сторон.</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 xml:space="preserve">                 4. Приложение № 4 Акт показаний коммерческого узла учёта.</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 xml:space="preserve">                 5. Приложение № 5 Перечень ответственных исполнителей Сторон.</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 xml:space="preserve">                 6. Приложение № 6 Сведения о коммерческих узлах учета.</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 xml:space="preserve">                 7. Приложение № 7 Температурный график.</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 xml:space="preserve">                 8. Приложение № 8 Акт снятия (установки) приборов коммерческого узла учета тепловой энергии и теплоносителя.</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 xml:space="preserve">                 9. Приложение № 9 Акт проверки потребления тепловой энергии Абонентом.</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 xml:space="preserve">                 10. Приложение № 10 Акт допуска в эксплуатацию коммерческого узла учета.</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11. ПОДПИСИ СТОРОН</w:t>
            </w: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18"/>
                <w:szCs w:val="18"/>
              </w:rPr>
              <w:t>________________________________  Е.Л. Ким</w:t>
            </w:r>
          </w:p>
        </w:tc>
        <w:tc>
          <w:tcPr>
            <w:tcW w:w="5145" w:type="dxa"/>
            <w:shd w:val="clear" w:color="auto" w:fill="auto"/>
            <w:textDirection w:val="lrTb"/>
            <w:vAlign w:val="bottom"/>
          </w:tcPr>
          <w:p>
            <w:pPr>
              <w:spacing w:after="0"/>
              <w:wordWrap w:val="1"/>
              <w:jc w:val="left"/>
            </w:pPr>
            <w:r>
              <w:rPr>
                <w:rFonts w:ascii="Arial" w:hAnsi="Arial"/>
                <w:sz w:val="18"/>
                <w:szCs w:val="18"/>
              </w:rPr>
              <w:t>________________ [ОтветственноеЛицоСокр]</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18"/>
                <w:szCs w:val="18"/>
              </w:rPr>
              <w:t>ДатаПодписи</w:t>
            </w:r>
          </w:p>
        </w:tc>
        <w:tc>
          <w:tcPr>
            <w:tcW w:w="5145" w:type="dxa"/>
            <w:shd w:val="clear" w:color="auto" w:fill="auto"/>
            <w:textDirection w:val="lrTb"/>
            <w:vAlign w:val="bottom"/>
          </w:tcPr>
          <w:p>
            <w:pPr>
              <w:spacing w:after="0"/>
              <w:wordWrap w:val="1"/>
              <w:jc w:val="left"/>
            </w:pPr>
            <w:r>
              <w:rPr>
                <w:rFonts w:ascii="Arial" w:hAnsi="Arial"/>
                <w:sz w:val="18"/>
                <w:szCs w:val="18"/>
              </w:rPr>
              <w:t>ДатаПодписи</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18"/>
                <w:szCs w:val="18"/>
              </w:rPr>
              <w:t>М.П.</w:t>
            </w:r>
          </w:p>
        </w:tc>
        <w:tc>
          <w:tcPr>
            <w:tcW w:w="5145" w:type="dxa"/>
            <w:shd w:val="clear" w:color="auto" w:fill="auto"/>
            <w:textDirection w:val="lrTb"/>
            <w:vAlign w:val="bottom"/>
          </w:tcPr>
          <w:p>
            <w:pPr>
              <w:spacing w:after="0"/>
              <w:wordWrap w:val="1"/>
              <w:jc w:val="left"/>
            </w:pPr>
            <w:r>
              <w:rPr>
                <w:rFonts w:ascii="Arial" w:hAnsi="Arial"/>
                <w:sz w:val="18"/>
                <w:szCs w:val="18"/>
              </w:rPr>
              <w:t>М.П.</w:t>
            </w: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